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3727B5">
        <w:rPr>
          <w:rFonts w:ascii="Arial" w:hAnsi="Arial" w:cs="Arial"/>
          <w:b/>
          <w:sz w:val="24"/>
          <w:szCs w:val="24"/>
        </w:rPr>
        <w:t>4</w:t>
      </w:r>
      <w:r w:rsidR="00283E4A">
        <w:rPr>
          <w:rFonts w:ascii="Arial" w:hAnsi="Arial" w:cs="Arial"/>
          <w:b/>
          <w:sz w:val="24"/>
          <w:szCs w:val="24"/>
        </w:rPr>
        <w:t>-</w:t>
      </w:r>
      <w:r w:rsidR="002B5D4D">
        <w:rPr>
          <w:rFonts w:ascii="Arial" w:hAnsi="Arial" w:cs="Arial" w:hint="eastAsia"/>
          <w:b/>
          <w:sz w:val="24"/>
          <w:szCs w:val="24"/>
          <w:lang w:eastAsia="ko-KR"/>
        </w:rPr>
        <w:t>bis-</w:t>
      </w:r>
      <w:r w:rsidR="00A43149" w:rsidRPr="00277FAB">
        <w:rPr>
          <w:rFonts w:ascii="Arial" w:hAnsi="Arial" w:cs="Arial"/>
          <w:b/>
          <w:sz w:val="24"/>
          <w:szCs w:val="24"/>
        </w:rPr>
        <w:t>e</w:t>
      </w:r>
      <w:r w:rsidR="00C32620">
        <w:rPr>
          <w:rFonts w:ascii="Arial" w:hAnsi="Arial" w:cs="Arial"/>
          <w:b/>
          <w:sz w:val="24"/>
          <w:szCs w:val="24"/>
        </w:rPr>
        <w:tab/>
      </w:r>
      <w:bookmarkStart w:id="0" w:name="_GoBack"/>
      <w:bookmarkEnd w:id="0"/>
      <w:r w:rsidR="00C32620" w:rsidRPr="00C32620">
        <w:rPr>
          <w:rFonts w:ascii="Arial" w:hAnsi="Arial" w:cs="Arial"/>
          <w:b/>
          <w:sz w:val="24"/>
          <w:szCs w:val="24"/>
        </w:rPr>
        <w:t>R4-2215937</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2B5D4D">
        <w:rPr>
          <w:rFonts w:ascii="Arial" w:eastAsia="SimSun" w:hAnsi="Arial" w:cs="Arial"/>
          <w:b/>
          <w:sz w:val="24"/>
          <w:szCs w:val="24"/>
          <w:lang w:eastAsia="zh-CN"/>
        </w:rPr>
        <w:t>October</w:t>
      </w:r>
      <w:r w:rsidR="00292E94" w:rsidRPr="004A029C">
        <w:rPr>
          <w:rFonts w:ascii="Arial" w:eastAsia="SimSun" w:hAnsi="Arial" w:cs="Arial"/>
          <w:b/>
          <w:sz w:val="24"/>
          <w:szCs w:val="24"/>
          <w:lang w:eastAsia="zh-CN"/>
        </w:rPr>
        <w:t xml:space="preserve"> </w:t>
      </w:r>
      <w:r w:rsidR="003727B5">
        <w:rPr>
          <w:rFonts w:ascii="Arial" w:eastAsia="SimSun" w:hAnsi="Arial" w:cs="Arial"/>
          <w:b/>
          <w:sz w:val="24"/>
          <w:szCs w:val="24"/>
          <w:lang w:eastAsia="zh-CN"/>
        </w:rPr>
        <w:t>1</w:t>
      </w:r>
      <w:r w:rsidR="002B5D4D">
        <w:rPr>
          <w:rFonts w:ascii="Arial" w:eastAsia="SimSun" w:hAnsi="Arial" w:cs="Arial"/>
          <w:b/>
          <w:sz w:val="24"/>
          <w:szCs w:val="24"/>
          <w:lang w:eastAsia="zh-CN"/>
        </w:rPr>
        <w:t>0</w:t>
      </w:r>
      <w:r w:rsidR="00292E94" w:rsidRPr="004A029C">
        <w:rPr>
          <w:rFonts w:ascii="Arial" w:eastAsia="SimSun" w:hAnsi="Arial" w:cs="Arial"/>
          <w:b/>
          <w:sz w:val="24"/>
          <w:szCs w:val="24"/>
          <w:lang w:eastAsia="zh-CN"/>
        </w:rPr>
        <w:t xml:space="preserve"> – </w:t>
      </w:r>
      <w:r w:rsidR="002B5D4D">
        <w:rPr>
          <w:rFonts w:ascii="Arial" w:eastAsia="SimSun" w:hAnsi="Arial" w:cs="Arial"/>
          <w:b/>
          <w:sz w:val="24"/>
          <w:szCs w:val="24"/>
          <w:lang w:eastAsia="zh-CN"/>
        </w:rPr>
        <w:t>19</w:t>
      </w:r>
      <w:r w:rsidR="00292E94" w:rsidRPr="004A029C">
        <w:rPr>
          <w:rFonts w:ascii="Arial" w:eastAsia="SimSun" w:hAnsi="Arial" w:cs="Arial"/>
          <w:b/>
          <w:sz w:val="24"/>
          <w:szCs w:val="24"/>
          <w:lang w:eastAsia="zh-CN"/>
        </w:rPr>
        <w:t>, 2022</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2D41FF">
        <w:rPr>
          <w:rFonts w:ascii="Arial" w:hAnsi="Arial" w:cs="Arial"/>
          <w:lang w:val="en-US"/>
        </w:rPr>
        <w:t xml:space="preserve">Discussion on </w:t>
      </w:r>
      <w:r w:rsidR="00831031">
        <w:rPr>
          <w:rFonts w:ascii="Arial" w:hAnsi="Arial" w:cs="Arial"/>
          <w:lang w:val="en-US"/>
        </w:rPr>
        <w:t>RRM core requirements for ATG UE</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2B5D4D">
        <w:rPr>
          <w:rFonts w:ascii="Arial" w:hAnsi="Arial" w:cs="Arial"/>
          <w:lang w:val="en-US" w:eastAsia="ko-KR"/>
        </w:rPr>
        <w:t>6.13.5</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 xml:space="preserve">In this contribution, we provide our views on </w:t>
      </w:r>
      <w:r w:rsidR="00E422B0">
        <w:rPr>
          <w:lang w:val="en-US" w:eastAsia="ko-KR"/>
        </w:rPr>
        <w:t>RRM core issues for ATG UE</w:t>
      </w:r>
      <w:r w:rsidR="00E35758">
        <w:rPr>
          <w:lang w:val="en-US" w:eastAsia="ko-KR"/>
        </w:rPr>
        <w:t xml:space="preserve"> based on </w:t>
      </w:r>
      <w:r w:rsidR="008327A7">
        <w:rPr>
          <w:lang w:val="en-US" w:eastAsia="ko-KR"/>
        </w:rPr>
        <w:t xml:space="preserve">the </w:t>
      </w:r>
      <w:r w:rsidR="00E35758">
        <w:rPr>
          <w:lang w:val="en-US" w:eastAsia="ko-KR"/>
        </w:rPr>
        <w:t>agreed WF [1]</w:t>
      </w:r>
      <w:r>
        <w:rPr>
          <w:lang w:val="en-US" w:eastAsia="ko-KR"/>
        </w:rPr>
        <w:t>.</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9E65FD" w:rsidRPr="009E65FD" w:rsidRDefault="009E65FD" w:rsidP="009E65FD">
      <w:pPr>
        <w:pStyle w:val="2"/>
        <w:rPr>
          <w:lang w:val="en-US" w:eastAsia="ko-KR"/>
        </w:rPr>
      </w:pPr>
      <w:r w:rsidRPr="009E65FD">
        <w:rPr>
          <w:rFonts w:hint="eastAsia"/>
          <w:lang w:val="en-US" w:eastAsia="ko-KR"/>
        </w:rPr>
        <w:t>G</w:t>
      </w:r>
      <w:r w:rsidRPr="009E65FD">
        <w:rPr>
          <w:lang w:val="en-US" w:eastAsia="ko-KR"/>
        </w:rPr>
        <w:t>eneral</w:t>
      </w:r>
    </w:p>
    <w:p w:rsidR="008012E9" w:rsidRPr="008012E9" w:rsidRDefault="008012E9" w:rsidP="002D41FF">
      <w:pPr>
        <w:pStyle w:val="a0"/>
        <w:jc w:val="both"/>
        <w:rPr>
          <w:b/>
          <w:u w:val="single"/>
          <w:lang w:val="en-US" w:eastAsia="ko-KR"/>
        </w:rPr>
      </w:pPr>
      <w:r w:rsidRPr="008012E9">
        <w:rPr>
          <w:rFonts w:hint="eastAsia"/>
          <w:b/>
          <w:u w:val="single"/>
          <w:lang w:val="en-US" w:eastAsia="ko-KR"/>
        </w:rPr>
        <w:t>TDD impact on RRM</w:t>
      </w:r>
      <w:r w:rsidRPr="008012E9">
        <w:rPr>
          <w:b/>
          <w:u w:val="single"/>
          <w:lang w:val="en-US" w:eastAsia="ko-KR"/>
        </w:rPr>
        <w:t xml:space="preserve"> requirements</w:t>
      </w:r>
    </w:p>
    <w:p w:rsidR="008012E9" w:rsidRDefault="008012E9" w:rsidP="002D41FF">
      <w:pPr>
        <w:pStyle w:val="a0"/>
        <w:jc w:val="both"/>
        <w:rPr>
          <w:lang w:val="en-US" w:eastAsia="ko-KR"/>
        </w:rPr>
      </w:pPr>
      <w:r>
        <w:rPr>
          <w:lang w:val="en-US" w:eastAsia="ko-KR"/>
        </w:rPr>
        <w:t>For</w:t>
      </w:r>
      <w:r>
        <w:rPr>
          <w:rFonts w:hint="eastAsia"/>
          <w:lang w:val="en-US" w:eastAsia="ko-KR"/>
        </w:rPr>
        <w:t xml:space="preserve"> ATG</w:t>
      </w:r>
      <w:r>
        <w:rPr>
          <w:lang w:val="en-US" w:eastAsia="ko-KR"/>
        </w:rPr>
        <w:t xml:space="preserve"> network deployment, the extremely large ISD such as up to 300km is considered and both TDD and FDD frequency band</w:t>
      </w:r>
      <w:r w:rsidR="00B00A5F">
        <w:rPr>
          <w:lang w:val="en-US" w:eastAsia="ko-KR"/>
        </w:rPr>
        <w:t>s</w:t>
      </w:r>
      <w:r>
        <w:rPr>
          <w:lang w:val="en-US" w:eastAsia="ko-KR"/>
        </w:rPr>
        <w:t xml:space="preserve"> </w:t>
      </w:r>
      <w:r w:rsidR="00B00A5F">
        <w:rPr>
          <w:lang w:val="en-US" w:eastAsia="ko-KR"/>
        </w:rPr>
        <w:t>are</w:t>
      </w:r>
      <w:r>
        <w:rPr>
          <w:lang w:val="en-US" w:eastAsia="ko-KR"/>
        </w:rPr>
        <w:t xml:space="preserve"> the example band. </w:t>
      </w:r>
    </w:p>
    <w:p w:rsidR="00B00A5F" w:rsidRDefault="0068709A" w:rsidP="00B00A5F">
      <w:pPr>
        <w:pStyle w:val="a0"/>
        <w:keepNext/>
        <w:jc w:val="center"/>
      </w:pPr>
      <w:r>
        <w:object w:dxaOrig="8670" w:dyaOrig="4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15pt;height:2in" o:ole="">
            <v:imagedata r:id="rId8" o:title=""/>
          </v:shape>
          <o:OLEObject Type="Embed" ProgID="Visio.Drawing.15" ShapeID="_x0000_i1025" DrawAspect="Content" ObjectID="_1726064350" r:id="rId9"/>
        </w:object>
      </w:r>
    </w:p>
    <w:p w:rsidR="008012E9" w:rsidRPr="00B00A5F" w:rsidRDefault="00B00A5F" w:rsidP="00B00A5F">
      <w:pPr>
        <w:pStyle w:val="a7"/>
        <w:jc w:val="center"/>
        <w:rPr>
          <w:b w:val="0"/>
          <w:lang w:val="en-US" w:eastAsia="ko-KR"/>
        </w:rPr>
      </w:pPr>
      <w:r w:rsidRPr="00B00A5F">
        <w:rPr>
          <w:b w:val="0"/>
        </w:rPr>
        <w:t xml:space="preserve">Figure </w:t>
      </w:r>
      <w:r w:rsidRPr="00B00A5F">
        <w:rPr>
          <w:b w:val="0"/>
        </w:rPr>
        <w:fldChar w:fldCharType="begin"/>
      </w:r>
      <w:r w:rsidRPr="00B00A5F">
        <w:rPr>
          <w:b w:val="0"/>
        </w:rPr>
        <w:instrText xml:space="preserve"> SEQ Figure \* ARABIC </w:instrText>
      </w:r>
      <w:r w:rsidRPr="00B00A5F">
        <w:rPr>
          <w:b w:val="0"/>
        </w:rPr>
        <w:fldChar w:fldCharType="separate"/>
      </w:r>
      <w:r w:rsidR="00063B3E">
        <w:rPr>
          <w:b w:val="0"/>
          <w:noProof/>
        </w:rPr>
        <w:t>1</w:t>
      </w:r>
      <w:r w:rsidRPr="00B00A5F">
        <w:rPr>
          <w:b w:val="0"/>
        </w:rPr>
        <w:fldChar w:fldCharType="end"/>
      </w:r>
      <w:r w:rsidRPr="00B00A5F">
        <w:rPr>
          <w:b w:val="0"/>
        </w:rPr>
        <w:t xml:space="preserve"> Example of ATG network deployment</w:t>
      </w:r>
    </w:p>
    <w:p w:rsidR="0068709A" w:rsidRDefault="008012E9" w:rsidP="002D41FF">
      <w:pPr>
        <w:pStyle w:val="a0"/>
        <w:jc w:val="both"/>
        <w:rPr>
          <w:lang w:val="en-US" w:eastAsia="ko-KR"/>
        </w:rPr>
      </w:pPr>
      <w:r>
        <w:rPr>
          <w:lang w:val="en-US" w:eastAsia="ko-KR"/>
        </w:rPr>
        <w:t>I</w:t>
      </w:r>
      <w:r>
        <w:rPr>
          <w:rFonts w:hint="eastAsia"/>
          <w:lang w:val="en-US" w:eastAsia="ko-KR"/>
        </w:rPr>
        <w:t xml:space="preserve">f </w:t>
      </w:r>
      <w:r>
        <w:rPr>
          <w:lang w:val="en-US" w:eastAsia="ko-KR"/>
        </w:rPr>
        <w:t>300km ISD is considered, the propagation delay between</w:t>
      </w:r>
      <w:r w:rsidR="00063B3E">
        <w:rPr>
          <w:lang w:val="en-US" w:eastAsia="ko-KR"/>
        </w:rPr>
        <w:t xml:space="preserve"> ATG UE and </w:t>
      </w:r>
      <w:proofErr w:type="spellStart"/>
      <w:r w:rsidR="00063B3E">
        <w:rPr>
          <w:lang w:val="en-US" w:eastAsia="ko-KR"/>
        </w:rPr>
        <w:t>gNB</w:t>
      </w:r>
      <w:proofErr w:type="spellEnd"/>
      <w:r w:rsidR="00063B3E">
        <w:rPr>
          <w:lang w:val="en-US" w:eastAsia="ko-KR"/>
        </w:rPr>
        <w:t xml:space="preserve"> could be up to </w:t>
      </w:r>
      <w:r>
        <w:rPr>
          <w:lang w:val="en-US" w:eastAsia="ko-KR"/>
        </w:rPr>
        <w:t>6</w:t>
      </w:r>
      <w:r w:rsidR="00063B3E">
        <w:rPr>
          <w:lang w:val="en-US" w:eastAsia="ko-KR"/>
        </w:rPr>
        <w:t>67</w:t>
      </w:r>
      <w:r>
        <w:rPr>
          <w:lang w:val="en-US" w:eastAsia="ko-KR"/>
        </w:rPr>
        <w:t>us which is large</w:t>
      </w:r>
      <w:r w:rsidR="00063B3E">
        <w:rPr>
          <w:lang w:val="en-US" w:eastAsia="ko-KR"/>
        </w:rPr>
        <w:t>r than one slot for 30Hz SCS. In Figure 2</w:t>
      </w:r>
      <w:r w:rsidR="0068709A">
        <w:rPr>
          <w:lang w:val="en-US" w:eastAsia="ko-KR"/>
        </w:rPr>
        <w:t xml:space="preserve"> under assumption 500us propagation delay</w:t>
      </w:r>
      <w:r w:rsidR="00063B3E">
        <w:rPr>
          <w:lang w:val="en-US" w:eastAsia="ko-KR"/>
        </w:rPr>
        <w:t xml:space="preserve">, ATG UE applies </w:t>
      </w:r>
      <w:r w:rsidR="008327A7">
        <w:rPr>
          <w:lang w:val="en-US" w:eastAsia="ko-KR"/>
        </w:rPr>
        <w:t xml:space="preserve">a </w:t>
      </w:r>
      <w:r w:rsidR="00063B3E">
        <w:rPr>
          <w:lang w:val="en-US" w:eastAsia="ko-KR"/>
        </w:rPr>
        <w:t>large TA value</w:t>
      </w:r>
      <w:r w:rsidR="0068709A">
        <w:rPr>
          <w:lang w:val="en-US" w:eastAsia="ko-KR"/>
        </w:rPr>
        <w:t xml:space="preserve"> for slot N+1, and DL signal for slot N-1 from </w:t>
      </w:r>
      <w:proofErr w:type="spellStart"/>
      <w:r w:rsidR="0068709A">
        <w:rPr>
          <w:lang w:val="en-US" w:eastAsia="ko-KR"/>
        </w:rPr>
        <w:t>gNB</w:t>
      </w:r>
      <w:proofErr w:type="spellEnd"/>
      <w:r w:rsidR="0068709A">
        <w:rPr>
          <w:lang w:val="en-US" w:eastAsia="ko-KR"/>
        </w:rPr>
        <w:t xml:space="preserve"> would be received at slot N due to propagation delay. If </w:t>
      </w:r>
      <w:proofErr w:type="spellStart"/>
      <w:r w:rsidR="0068709A">
        <w:rPr>
          <w:lang w:val="en-US" w:eastAsia="ko-KR"/>
        </w:rPr>
        <w:t>gNB</w:t>
      </w:r>
      <w:proofErr w:type="spellEnd"/>
      <w:r w:rsidR="0068709A">
        <w:rPr>
          <w:lang w:val="en-US" w:eastAsia="ko-KR"/>
        </w:rPr>
        <w:t xml:space="preserve"> has no propagation delay information, DL for slot N-1 and UL for slot N+1 signal could be scheduled. Therefore, </w:t>
      </w:r>
      <w:proofErr w:type="spellStart"/>
      <w:r w:rsidR="0068709A">
        <w:rPr>
          <w:lang w:val="en-US" w:eastAsia="ko-KR"/>
        </w:rPr>
        <w:t>gNB</w:t>
      </w:r>
      <w:proofErr w:type="spellEnd"/>
      <w:r w:rsidR="0068709A">
        <w:rPr>
          <w:lang w:val="en-US" w:eastAsia="ko-KR"/>
        </w:rPr>
        <w:t xml:space="preserve"> should be aware of the propagation delay between </w:t>
      </w:r>
      <w:proofErr w:type="spellStart"/>
      <w:r w:rsidR="0068709A">
        <w:rPr>
          <w:lang w:val="en-US" w:eastAsia="ko-KR"/>
        </w:rPr>
        <w:t>gNB</w:t>
      </w:r>
      <w:proofErr w:type="spellEnd"/>
      <w:r w:rsidR="0068709A">
        <w:rPr>
          <w:lang w:val="en-US" w:eastAsia="ko-KR"/>
        </w:rPr>
        <w:t xml:space="preserve"> and ATG UE. If not, scheduling availability should be defined.</w:t>
      </w:r>
    </w:p>
    <w:p w:rsidR="001C6BF3" w:rsidRDefault="0068709A" w:rsidP="000577E9">
      <w:pPr>
        <w:pStyle w:val="a0"/>
        <w:numPr>
          <w:ilvl w:val="0"/>
          <w:numId w:val="19"/>
        </w:numPr>
        <w:jc w:val="both"/>
        <w:rPr>
          <w:lang w:val="en-US" w:eastAsia="ko-KR"/>
        </w:rPr>
      </w:pPr>
      <w:r w:rsidRPr="001C6BF3">
        <w:rPr>
          <w:b/>
          <w:i/>
          <w:lang w:val="en-US" w:eastAsia="ko-KR"/>
        </w:rPr>
        <w:t>Proposal 1</w:t>
      </w:r>
      <w:r w:rsidR="00366209" w:rsidRPr="001C6BF3">
        <w:rPr>
          <w:lang w:val="en-US" w:eastAsia="ko-KR"/>
        </w:rPr>
        <w:t xml:space="preserve">: </w:t>
      </w:r>
      <w:r w:rsidR="001C6BF3" w:rsidRPr="001C6BF3">
        <w:rPr>
          <w:lang w:val="en-US" w:eastAsia="ko-KR"/>
        </w:rPr>
        <w:t xml:space="preserve">The propagation delay information between </w:t>
      </w:r>
      <w:proofErr w:type="spellStart"/>
      <w:r w:rsidR="001C6BF3" w:rsidRPr="001C6BF3">
        <w:rPr>
          <w:lang w:val="en-US" w:eastAsia="ko-KR"/>
        </w:rPr>
        <w:t>gNB</w:t>
      </w:r>
      <w:proofErr w:type="spellEnd"/>
      <w:r w:rsidR="001C6BF3" w:rsidRPr="001C6BF3">
        <w:rPr>
          <w:lang w:val="en-US" w:eastAsia="ko-KR"/>
        </w:rPr>
        <w:t xml:space="preserve"> and ATG UE should be known by </w:t>
      </w:r>
      <w:proofErr w:type="spellStart"/>
      <w:r w:rsidR="001C6BF3" w:rsidRPr="001C6BF3">
        <w:rPr>
          <w:lang w:val="en-US" w:eastAsia="ko-KR"/>
        </w:rPr>
        <w:t>gNB</w:t>
      </w:r>
      <w:proofErr w:type="spellEnd"/>
      <w:r w:rsidR="001C6BF3" w:rsidRPr="001C6BF3">
        <w:rPr>
          <w:lang w:val="en-US" w:eastAsia="ko-KR"/>
        </w:rPr>
        <w:t xml:space="preserve"> since TDD operation can be affected by the propagation delay which can be up to one slot duration depending on the ATG UE position.</w:t>
      </w:r>
    </w:p>
    <w:p w:rsidR="00063B3E" w:rsidRDefault="00063B3E" w:rsidP="00063B3E">
      <w:pPr>
        <w:pStyle w:val="a0"/>
        <w:keepNext/>
        <w:jc w:val="center"/>
      </w:pPr>
      <w:r>
        <w:object w:dxaOrig="14237" w:dyaOrig="4216">
          <v:shape id="_x0000_i1026" type="#_x0000_t75" style="width:492.75pt;height:145.9pt" o:ole="">
            <v:imagedata r:id="rId10" o:title=""/>
          </v:shape>
          <o:OLEObject Type="Embed" ProgID="Visio.Drawing.15" ShapeID="_x0000_i1026" DrawAspect="Content" ObjectID="_1726064351" r:id="rId11"/>
        </w:object>
      </w:r>
    </w:p>
    <w:p w:rsidR="007D1684" w:rsidRPr="00063B3E" w:rsidRDefault="00063B3E" w:rsidP="00063B3E">
      <w:pPr>
        <w:pStyle w:val="a7"/>
        <w:jc w:val="center"/>
        <w:rPr>
          <w:b w:val="0"/>
          <w:lang w:val="en-US" w:eastAsia="ko-KR"/>
        </w:rPr>
      </w:pPr>
      <w:r w:rsidRPr="00063B3E">
        <w:rPr>
          <w:b w:val="0"/>
        </w:rPr>
        <w:t xml:space="preserve">Figure </w:t>
      </w:r>
      <w:r w:rsidRPr="00063B3E">
        <w:rPr>
          <w:b w:val="0"/>
        </w:rPr>
        <w:fldChar w:fldCharType="begin"/>
      </w:r>
      <w:r w:rsidRPr="00063B3E">
        <w:rPr>
          <w:b w:val="0"/>
        </w:rPr>
        <w:instrText xml:space="preserve"> SEQ Figure \* ARABIC </w:instrText>
      </w:r>
      <w:r w:rsidRPr="00063B3E">
        <w:rPr>
          <w:b w:val="0"/>
        </w:rPr>
        <w:fldChar w:fldCharType="separate"/>
      </w:r>
      <w:r w:rsidRPr="00063B3E">
        <w:rPr>
          <w:b w:val="0"/>
          <w:noProof/>
        </w:rPr>
        <w:t>2</w:t>
      </w:r>
      <w:r w:rsidRPr="00063B3E">
        <w:rPr>
          <w:b w:val="0"/>
        </w:rPr>
        <w:fldChar w:fldCharType="end"/>
      </w:r>
      <w:r w:rsidRPr="00063B3E">
        <w:rPr>
          <w:b w:val="0"/>
        </w:rPr>
        <w:t xml:space="preserve"> Example of </w:t>
      </w:r>
      <w:proofErr w:type="spellStart"/>
      <w:r w:rsidRPr="00063B3E">
        <w:rPr>
          <w:b w:val="0"/>
        </w:rPr>
        <w:t>Tx</w:t>
      </w:r>
      <w:proofErr w:type="spellEnd"/>
      <w:r w:rsidRPr="00063B3E">
        <w:rPr>
          <w:b w:val="0"/>
        </w:rPr>
        <w:t xml:space="preserve"> and Rx timing </w:t>
      </w:r>
      <w:r w:rsidRPr="00063B3E">
        <w:rPr>
          <w:b w:val="0"/>
          <w:noProof/>
        </w:rPr>
        <w:t>due to long propagation delay (e.g., 500us)</w:t>
      </w:r>
    </w:p>
    <w:p w:rsidR="002733E8" w:rsidRPr="002733E8" w:rsidRDefault="002733E8" w:rsidP="002733E8">
      <w:pPr>
        <w:pStyle w:val="a0"/>
        <w:jc w:val="both"/>
        <w:rPr>
          <w:b/>
          <w:u w:val="single"/>
          <w:lang w:val="en-US" w:eastAsia="ko-KR"/>
        </w:rPr>
      </w:pPr>
      <w:r w:rsidRPr="002733E8">
        <w:rPr>
          <w:rFonts w:hint="eastAsia"/>
          <w:b/>
          <w:u w:val="single"/>
          <w:lang w:val="en-US" w:eastAsia="ko-KR"/>
        </w:rPr>
        <w:t xml:space="preserve">UE </w:t>
      </w:r>
      <w:r>
        <w:rPr>
          <w:rFonts w:hint="eastAsia"/>
          <w:b/>
          <w:u w:val="single"/>
          <w:lang w:val="en-US" w:eastAsia="ko-KR"/>
        </w:rPr>
        <w:t xml:space="preserve">and NW </w:t>
      </w:r>
      <w:r w:rsidRPr="002733E8">
        <w:rPr>
          <w:rFonts w:hint="eastAsia"/>
          <w:b/>
          <w:u w:val="single"/>
          <w:lang w:val="en-US" w:eastAsia="ko-KR"/>
        </w:rPr>
        <w:t>assis</w:t>
      </w:r>
      <w:r w:rsidRPr="002733E8">
        <w:rPr>
          <w:b/>
          <w:u w:val="single"/>
          <w:lang w:val="en-US" w:eastAsia="ko-KR"/>
        </w:rPr>
        <w:t>tance information</w:t>
      </w:r>
    </w:p>
    <w:p w:rsidR="002733E8" w:rsidRDefault="002733E8" w:rsidP="002733E8">
      <w:pPr>
        <w:pStyle w:val="a0"/>
        <w:jc w:val="both"/>
        <w:rPr>
          <w:lang w:val="en-US" w:eastAsia="ko-KR"/>
        </w:rPr>
      </w:pPr>
      <w:r>
        <w:rPr>
          <w:rFonts w:hint="eastAsia"/>
          <w:lang w:val="en-US" w:eastAsia="ko-KR"/>
        </w:rPr>
        <w:t xml:space="preserve">In </w:t>
      </w:r>
      <w:r>
        <w:rPr>
          <w:lang w:val="en-US" w:eastAsia="ko-KR"/>
        </w:rPr>
        <w:t>RAN4#104e meeting, following WF is approved [1].</w:t>
      </w:r>
    </w:p>
    <w:tbl>
      <w:tblPr>
        <w:tblStyle w:val="a9"/>
        <w:tblW w:w="0" w:type="auto"/>
        <w:tblLook w:val="04A0" w:firstRow="1" w:lastRow="0" w:firstColumn="1" w:lastColumn="0" w:noHBand="0" w:noVBand="1"/>
      </w:tblPr>
      <w:tblGrid>
        <w:gridCol w:w="9855"/>
      </w:tblGrid>
      <w:tr w:rsidR="002733E8" w:rsidTr="00D41703">
        <w:tc>
          <w:tcPr>
            <w:tcW w:w="9855" w:type="dxa"/>
          </w:tcPr>
          <w:p w:rsidR="002733E8" w:rsidRPr="00A55597" w:rsidRDefault="002733E8" w:rsidP="00D41703">
            <w:pPr>
              <w:rPr>
                <w:b/>
                <w:u w:val="single"/>
                <w:lang w:eastAsia="ko-KR"/>
              </w:rPr>
            </w:pPr>
            <w:r w:rsidRPr="00A55597">
              <w:rPr>
                <w:b/>
                <w:u w:val="single"/>
                <w:lang w:eastAsia="ko-KR"/>
              </w:rPr>
              <w:t>Issue 1-2-3: UE assistance information</w:t>
            </w:r>
          </w:p>
          <w:p w:rsidR="002733E8" w:rsidRPr="00A55597" w:rsidRDefault="002733E8" w:rsidP="00D41703">
            <w:pPr>
              <w:pStyle w:val="ad"/>
              <w:numPr>
                <w:ilvl w:val="0"/>
                <w:numId w:val="17"/>
              </w:numPr>
              <w:autoSpaceDN w:val="0"/>
              <w:spacing w:line="257" w:lineRule="auto"/>
              <w:ind w:leftChars="0"/>
              <w:rPr>
                <w:rFonts w:eastAsia="SimSun"/>
              </w:rPr>
            </w:pPr>
            <w:r w:rsidRPr="00A55597">
              <w:rPr>
                <w:rFonts w:eastAsia="SimSun"/>
              </w:rPr>
              <w:t>RAN4 further study ATG UE assistance information</w:t>
            </w:r>
          </w:p>
          <w:p w:rsidR="002733E8" w:rsidRPr="00E422B0" w:rsidRDefault="002733E8" w:rsidP="00D41703">
            <w:pPr>
              <w:pStyle w:val="ad"/>
              <w:numPr>
                <w:ilvl w:val="1"/>
                <w:numId w:val="17"/>
              </w:numPr>
              <w:autoSpaceDN w:val="0"/>
              <w:spacing w:after="120" w:line="256" w:lineRule="auto"/>
              <w:ind w:leftChars="0"/>
              <w:rPr>
                <w:kern w:val="2"/>
                <w:lang w:val="en-US" w:eastAsia="zh-CN"/>
              </w:rPr>
            </w:pPr>
            <w:proofErr w:type="gramStart"/>
            <w:r w:rsidRPr="00A55597">
              <w:rPr>
                <w:rFonts w:eastAsia="SimSun"/>
              </w:rPr>
              <w:t>such</w:t>
            </w:r>
            <w:proofErr w:type="gramEnd"/>
            <w:r w:rsidRPr="00A55597">
              <w:rPr>
                <w:rFonts w:eastAsia="SimSun"/>
              </w:rPr>
              <w:t xml:space="preserve"> as altitude, location, propagation delay difference, flight path, speed, velocity etc., or change in any of these parameters.</w:t>
            </w:r>
          </w:p>
        </w:tc>
      </w:tr>
    </w:tbl>
    <w:p w:rsidR="002733E8" w:rsidRDefault="002733E8" w:rsidP="002733E8">
      <w:pPr>
        <w:pStyle w:val="a0"/>
        <w:jc w:val="both"/>
        <w:rPr>
          <w:lang w:val="en-US" w:eastAsia="ko-KR"/>
        </w:rPr>
      </w:pPr>
    </w:p>
    <w:p w:rsidR="002733E8" w:rsidRDefault="002733E8" w:rsidP="002733E8">
      <w:pPr>
        <w:pStyle w:val="a0"/>
        <w:jc w:val="both"/>
        <w:rPr>
          <w:lang w:val="en-US" w:eastAsia="ko-KR"/>
        </w:rPr>
      </w:pPr>
      <w:r>
        <w:rPr>
          <w:lang w:val="en-US" w:eastAsia="ko-KR"/>
        </w:rPr>
        <w:t>There are various types of information and it can be used in timing, measuremen</w:t>
      </w:r>
      <w:r w:rsidR="006F0A7F">
        <w:rPr>
          <w:lang w:val="en-US" w:eastAsia="ko-KR"/>
        </w:rPr>
        <w:t>t or mobility. For further discussion, we think</w:t>
      </w:r>
      <w:r>
        <w:rPr>
          <w:lang w:val="en-US" w:eastAsia="ko-KR"/>
        </w:rPr>
        <w:t xml:space="preserve"> RAN4 can categorize the above UE assistance information into RRM requirement: measurement, timing and mobility</w:t>
      </w:r>
    </w:p>
    <w:p w:rsidR="002733E8" w:rsidRDefault="002733E8" w:rsidP="002733E8">
      <w:pPr>
        <w:pStyle w:val="a0"/>
        <w:numPr>
          <w:ilvl w:val="0"/>
          <w:numId w:val="25"/>
        </w:numPr>
        <w:jc w:val="both"/>
        <w:rPr>
          <w:lang w:val="en-US" w:eastAsia="ko-KR"/>
        </w:rPr>
      </w:pPr>
      <w:r w:rsidRPr="0018563A">
        <w:rPr>
          <w:b/>
          <w:i/>
          <w:lang w:val="en-US" w:eastAsia="ko-KR"/>
        </w:rPr>
        <w:t xml:space="preserve">Proposal </w:t>
      </w:r>
      <w:r>
        <w:rPr>
          <w:b/>
          <w:i/>
          <w:lang w:val="en-US" w:eastAsia="ko-KR"/>
        </w:rPr>
        <w:t>2</w:t>
      </w:r>
      <w:r>
        <w:rPr>
          <w:lang w:val="en-US" w:eastAsia="ko-KR"/>
        </w:rPr>
        <w:t xml:space="preserve">: </w:t>
      </w:r>
      <w:r w:rsidR="001C0E60">
        <w:rPr>
          <w:lang w:val="en-US" w:eastAsia="ko-KR"/>
        </w:rPr>
        <w:t xml:space="preserve">For further discussion, </w:t>
      </w:r>
      <w:r>
        <w:rPr>
          <w:lang w:val="en-US" w:eastAsia="ko-KR"/>
        </w:rPr>
        <w:t>RAN4 can categorize UE assistance information into RRM requirement: measurement, timing and mobility.</w:t>
      </w:r>
      <w:r>
        <w:rPr>
          <w:rFonts w:hint="eastAsia"/>
          <w:lang w:val="en-US" w:eastAsia="ko-KR"/>
        </w:rPr>
        <w:t xml:space="preserve"> </w:t>
      </w:r>
      <w:r>
        <w:rPr>
          <w:lang w:val="en-US" w:eastAsia="ko-KR"/>
        </w:rPr>
        <w:t>For example,</w:t>
      </w:r>
    </w:p>
    <w:p w:rsidR="002733E8" w:rsidRDefault="002733E8" w:rsidP="002733E8">
      <w:pPr>
        <w:pStyle w:val="a0"/>
        <w:ind w:leftChars="400" w:left="800"/>
        <w:jc w:val="both"/>
        <w:rPr>
          <w:lang w:val="en-US" w:eastAsia="ko-KR"/>
        </w:rPr>
      </w:pPr>
      <w:r>
        <w:rPr>
          <w:lang w:val="en-US" w:eastAsia="ko-KR"/>
        </w:rPr>
        <w:t>Measurement triggering/relaxation condition: altitude, distance between UE and BS, speed, velocity, etc.</w:t>
      </w:r>
    </w:p>
    <w:p w:rsidR="002733E8" w:rsidRPr="00CF5A9F" w:rsidRDefault="002733E8" w:rsidP="002733E8">
      <w:pPr>
        <w:pStyle w:val="a0"/>
        <w:ind w:leftChars="400" w:left="800"/>
        <w:jc w:val="both"/>
        <w:rPr>
          <w:lang w:val="en-US" w:eastAsia="ko-KR"/>
        </w:rPr>
      </w:pPr>
      <w:r>
        <w:rPr>
          <w:lang w:val="en-US" w:eastAsia="ko-KR"/>
        </w:rPr>
        <w:t>Measurement window configuration: propagation delay difference, propagation delay estimation, etc.</w:t>
      </w:r>
    </w:p>
    <w:p w:rsidR="002733E8" w:rsidRDefault="002733E8" w:rsidP="002733E8">
      <w:pPr>
        <w:pStyle w:val="a0"/>
        <w:ind w:leftChars="400" w:left="800"/>
        <w:jc w:val="both"/>
        <w:rPr>
          <w:lang w:val="en-US" w:eastAsia="ko-KR"/>
        </w:rPr>
      </w:pPr>
      <w:r>
        <w:rPr>
          <w:lang w:val="en-US" w:eastAsia="ko-KR"/>
        </w:rPr>
        <w:t>Timing: propagation delay difference, speed, velocity, propagation delay estimation, etc.</w:t>
      </w:r>
    </w:p>
    <w:p w:rsidR="002733E8" w:rsidRDefault="002733E8" w:rsidP="002733E8">
      <w:pPr>
        <w:pStyle w:val="a0"/>
        <w:ind w:leftChars="400" w:left="800"/>
        <w:jc w:val="both"/>
        <w:rPr>
          <w:lang w:val="en-US" w:eastAsia="ko-KR"/>
        </w:rPr>
      </w:pPr>
      <w:r>
        <w:rPr>
          <w:lang w:val="en-US" w:eastAsia="ko-KR"/>
        </w:rPr>
        <w:t>Handover: location, flight path, etc.</w:t>
      </w:r>
    </w:p>
    <w:p w:rsidR="002733E8" w:rsidRPr="009B5E05" w:rsidRDefault="002733E8" w:rsidP="002733E8">
      <w:pPr>
        <w:pStyle w:val="a0"/>
        <w:ind w:left="800"/>
        <w:jc w:val="both"/>
        <w:rPr>
          <w:lang w:val="en-US" w:eastAsia="ko-KR"/>
        </w:rPr>
      </w:pPr>
      <w:r>
        <w:rPr>
          <w:lang w:val="en-US" w:eastAsia="ko-KR"/>
        </w:rPr>
        <w:t xml:space="preserve">XXX: </w:t>
      </w:r>
      <w:proofErr w:type="spellStart"/>
      <w:r>
        <w:rPr>
          <w:lang w:val="en-US" w:eastAsia="ko-KR"/>
        </w:rPr>
        <w:t>yy</w:t>
      </w:r>
      <w:proofErr w:type="spellEnd"/>
      <w:r>
        <w:rPr>
          <w:lang w:val="en-US" w:eastAsia="ko-KR"/>
        </w:rPr>
        <w:t xml:space="preserve">, </w:t>
      </w:r>
      <w:proofErr w:type="spellStart"/>
      <w:r>
        <w:rPr>
          <w:lang w:val="en-US" w:eastAsia="ko-KR"/>
        </w:rPr>
        <w:t>zz</w:t>
      </w:r>
      <w:proofErr w:type="spellEnd"/>
      <w:r>
        <w:rPr>
          <w:lang w:val="en-US" w:eastAsia="ko-KR"/>
        </w:rPr>
        <w:t>, etc.</w:t>
      </w:r>
    </w:p>
    <w:p w:rsidR="00B90403" w:rsidRDefault="00B90403" w:rsidP="002733E8">
      <w:pPr>
        <w:pStyle w:val="a0"/>
        <w:jc w:val="both"/>
        <w:rPr>
          <w:lang w:val="en-US" w:eastAsia="ko-KR"/>
        </w:rPr>
      </w:pPr>
    </w:p>
    <w:p w:rsidR="002733E8" w:rsidRDefault="002733E8" w:rsidP="002733E8">
      <w:pPr>
        <w:pStyle w:val="a0"/>
        <w:jc w:val="both"/>
        <w:rPr>
          <w:lang w:val="en-US" w:eastAsia="ko-KR"/>
        </w:rPr>
      </w:pPr>
      <w:r>
        <w:rPr>
          <w:lang w:val="en-US" w:eastAsia="ko-KR"/>
        </w:rPr>
        <w:t xml:space="preserve">UE assistance information for distance between UE and BS and propagation delay difference can be calculated </w:t>
      </w:r>
      <w:r w:rsidR="00825A26">
        <w:rPr>
          <w:lang w:val="en-US" w:eastAsia="ko-KR"/>
        </w:rPr>
        <w:t>using</w:t>
      </w:r>
      <w:r>
        <w:rPr>
          <w:lang w:val="en-US" w:eastAsia="ko-KR"/>
        </w:rPr>
        <w:t xml:space="preserve"> ATG UE location and ATG BS location. ATG UE information can be obtained by GNSS since ATG UE should be capable of GNSS measurement</w:t>
      </w:r>
      <w:r w:rsidR="009D0644">
        <w:rPr>
          <w:lang w:val="en-US" w:eastAsia="ko-KR"/>
        </w:rPr>
        <w:t xml:space="preserve"> as agreed in last meeting</w:t>
      </w:r>
      <w:r>
        <w:rPr>
          <w:lang w:val="en-US" w:eastAsia="ko-KR"/>
        </w:rPr>
        <w:t>, but, there is no discussion for the ATG BS location.</w:t>
      </w:r>
      <w:r w:rsidR="00C731D1">
        <w:rPr>
          <w:lang w:val="en-US" w:eastAsia="ko-KR"/>
        </w:rPr>
        <w:t xml:space="preserve"> We think</w:t>
      </w:r>
      <w:r>
        <w:rPr>
          <w:lang w:val="en-US" w:eastAsia="ko-KR"/>
        </w:rPr>
        <w:t xml:space="preserve"> ATG BS location </w:t>
      </w:r>
      <w:r w:rsidR="00C731D1">
        <w:rPr>
          <w:lang w:val="en-US" w:eastAsia="ko-KR"/>
        </w:rPr>
        <w:t xml:space="preserve">is the NW assistance information and it </w:t>
      </w:r>
      <w:r>
        <w:rPr>
          <w:lang w:val="en-US" w:eastAsia="ko-KR"/>
        </w:rPr>
        <w:t xml:space="preserve">can be provided by the NW as like the reference location and ephemeris information in Rel-17. So, we think RAN4 needs to study NW assistance information such ATG BS location. </w:t>
      </w:r>
    </w:p>
    <w:p w:rsidR="002733E8" w:rsidRDefault="002733E8" w:rsidP="002733E8">
      <w:pPr>
        <w:pStyle w:val="a0"/>
        <w:numPr>
          <w:ilvl w:val="0"/>
          <w:numId w:val="25"/>
        </w:numPr>
        <w:jc w:val="both"/>
        <w:rPr>
          <w:lang w:val="en-US" w:eastAsia="ko-KR"/>
        </w:rPr>
      </w:pPr>
      <w:r w:rsidRPr="00652837">
        <w:rPr>
          <w:b/>
          <w:i/>
          <w:lang w:val="en-US" w:eastAsia="ko-KR"/>
        </w:rPr>
        <w:t xml:space="preserve">Proposal </w:t>
      </w:r>
      <w:r w:rsidR="00C731D1">
        <w:rPr>
          <w:b/>
          <w:i/>
          <w:lang w:val="en-US" w:eastAsia="ko-KR"/>
        </w:rPr>
        <w:t>3</w:t>
      </w:r>
      <w:r w:rsidRPr="00652837">
        <w:rPr>
          <w:b/>
          <w:i/>
          <w:lang w:val="en-US" w:eastAsia="ko-KR"/>
        </w:rPr>
        <w:t xml:space="preserve">: </w:t>
      </w:r>
      <w:r>
        <w:rPr>
          <w:lang w:val="en-US" w:eastAsia="ko-KR"/>
        </w:rPr>
        <w:t>RAN4 needs to study NW assistance information such</w:t>
      </w:r>
      <w:r w:rsidR="00A041C4">
        <w:rPr>
          <w:lang w:val="en-US" w:eastAsia="ko-KR"/>
        </w:rPr>
        <w:t xml:space="preserve"> as</w:t>
      </w:r>
      <w:r w:rsidR="002776F1">
        <w:rPr>
          <w:lang w:val="en-US" w:eastAsia="ko-KR"/>
        </w:rPr>
        <w:t xml:space="preserve"> ATG BS location, etc.</w:t>
      </w:r>
    </w:p>
    <w:p w:rsidR="008012E9" w:rsidRPr="00C731D1" w:rsidRDefault="008012E9" w:rsidP="002D41FF">
      <w:pPr>
        <w:pStyle w:val="a0"/>
        <w:jc w:val="both"/>
        <w:rPr>
          <w:lang w:val="en-US" w:eastAsia="ko-KR"/>
        </w:rPr>
      </w:pPr>
    </w:p>
    <w:p w:rsidR="008012E9" w:rsidRDefault="009E65FD" w:rsidP="009E65FD">
      <w:pPr>
        <w:pStyle w:val="2"/>
        <w:rPr>
          <w:lang w:val="en-US" w:eastAsia="ko-KR"/>
        </w:rPr>
      </w:pPr>
      <w:r w:rsidRPr="009E65FD">
        <w:rPr>
          <w:lang w:val="en-US" w:eastAsia="ko-KR"/>
        </w:rPr>
        <w:t>Mobility in RRC_IDLE/INACTIVE</w:t>
      </w:r>
    </w:p>
    <w:p w:rsidR="008012E9" w:rsidRPr="009E65FD" w:rsidRDefault="009E65FD" w:rsidP="002D41FF">
      <w:pPr>
        <w:pStyle w:val="a0"/>
        <w:jc w:val="both"/>
        <w:rPr>
          <w:b/>
          <w:u w:val="single"/>
          <w:lang w:val="en-US" w:eastAsia="ko-KR"/>
        </w:rPr>
      </w:pPr>
      <w:r w:rsidRPr="009E65FD">
        <w:rPr>
          <w:b/>
          <w:u w:val="single"/>
          <w:lang w:val="en-US" w:eastAsia="ko-KR"/>
        </w:rPr>
        <w:t>Cell re-selection measurement requirements</w:t>
      </w:r>
    </w:p>
    <w:p w:rsidR="009B47F0" w:rsidRDefault="009E65FD" w:rsidP="002D41FF">
      <w:pPr>
        <w:pStyle w:val="a0"/>
        <w:jc w:val="both"/>
        <w:rPr>
          <w:lang w:val="en-US" w:eastAsia="ko-KR"/>
        </w:rPr>
      </w:pPr>
      <w:r>
        <w:rPr>
          <w:lang w:val="en-US" w:eastAsia="ko-KR"/>
        </w:rPr>
        <w:t>I</w:t>
      </w:r>
      <w:r>
        <w:rPr>
          <w:rFonts w:hint="eastAsia"/>
          <w:lang w:val="en-US" w:eastAsia="ko-KR"/>
        </w:rPr>
        <w:t xml:space="preserve">n </w:t>
      </w:r>
      <w:r>
        <w:rPr>
          <w:lang w:val="en-US" w:eastAsia="ko-KR"/>
        </w:rPr>
        <w:t xml:space="preserve">the last meeting, RAN4 discussed whether </w:t>
      </w:r>
      <w:r w:rsidRPr="009E65FD">
        <w:rPr>
          <w:lang w:val="en-US" w:eastAsia="ko-KR"/>
        </w:rPr>
        <w:t xml:space="preserve">legacy R15 requirements of intra-frequency and inter-frequency measurement </w:t>
      </w:r>
      <w:r>
        <w:rPr>
          <w:lang w:val="en-US" w:eastAsia="ko-KR"/>
        </w:rPr>
        <w:t xml:space="preserve">can be reused and agreed to discuss it </w:t>
      </w:r>
      <w:r w:rsidRPr="009E65FD">
        <w:rPr>
          <w:lang w:val="en-US" w:eastAsia="ko-KR"/>
        </w:rPr>
        <w:t>as the starting point</w:t>
      </w:r>
      <w:r>
        <w:rPr>
          <w:lang w:val="en-US" w:eastAsia="ko-KR"/>
        </w:rPr>
        <w:t xml:space="preserve">. In general, the legacy requirement for cell re-selection measurements can be reused. However, depending on the position not meeting </w:t>
      </w:r>
      <w:proofErr w:type="spellStart"/>
      <w:r>
        <w:rPr>
          <w:lang w:val="en-US" w:eastAsia="ko-KR"/>
        </w:rPr>
        <w:t>Srxlev</w:t>
      </w:r>
      <w:proofErr w:type="spellEnd"/>
      <w:r>
        <w:rPr>
          <w:lang w:val="en-US" w:eastAsia="ko-KR"/>
        </w:rPr>
        <w:t>/</w:t>
      </w:r>
      <w:proofErr w:type="spellStart"/>
      <w:r>
        <w:rPr>
          <w:lang w:val="en-US" w:eastAsia="ko-KR"/>
        </w:rPr>
        <w:t>Squal</w:t>
      </w:r>
      <w:proofErr w:type="spellEnd"/>
      <w:r>
        <w:rPr>
          <w:lang w:val="en-US" w:eastAsia="ko-KR"/>
        </w:rPr>
        <w:t xml:space="preserve"> condition, the measurement and evaluation for intra- and inter-frequency cell</w:t>
      </w:r>
      <w:r w:rsidR="008327A7">
        <w:rPr>
          <w:lang w:val="en-US" w:eastAsia="ko-KR"/>
        </w:rPr>
        <w:t>s</w:t>
      </w:r>
      <w:r>
        <w:rPr>
          <w:lang w:val="en-US" w:eastAsia="ko-KR"/>
        </w:rPr>
        <w:t xml:space="preserve"> cannot be perform</w:t>
      </w:r>
      <w:r w:rsidR="008327A7">
        <w:rPr>
          <w:lang w:val="en-US" w:eastAsia="ko-KR"/>
        </w:rPr>
        <w:t>ed</w:t>
      </w:r>
      <w:r>
        <w:rPr>
          <w:lang w:val="en-US" w:eastAsia="ko-KR"/>
        </w:rPr>
        <w:t xml:space="preserve"> within the legacy measurement requirements due to ATG speed which is up to 1200km/h. Therefore, additional condition for measurement triggering for intra- and inter-frequency cell needs to be considered such as distance based triggering. </w:t>
      </w:r>
    </w:p>
    <w:p w:rsidR="009E65FD" w:rsidRDefault="009E65FD" w:rsidP="009E65FD">
      <w:pPr>
        <w:pStyle w:val="a0"/>
        <w:numPr>
          <w:ilvl w:val="0"/>
          <w:numId w:val="19"/>
        </w:numPr>
        <w:jc w:val="both"/>
        <w:rPr>
          <w:lang w:val="en-US" w:eastAsia="ko-KR"/>
        </w:rPr>
      </w:pPr>
      <w:r w:rsidRPr="009E65FD">
        <w:rPr>
          <w:b/>
          <w:i/>
          <w:lang w:val="en-US" w:eastAsia="ko-KR"/>
        </w:rPr>
        <w:t xml:space="preserve">Proposal </w:t>
      </w:r>
      <w:r w:rsidR="006F0007">
        <w:rPr>
          <w:b/>
          <w:i/>
          <w:lang w:val="en-US" w:eastAsia="ko-KR"/>
        </w:rPr>
        <w:t>4</w:t>
      </w:r>
      <w:r>
        <w:rPr>
          <w:lang w:val="en-US" w:eastAsia="ko-KR"/>
        </w:rPr>
        <w:t>: Introduce distance based triggering as an additional condition for intra- and inter-frequency cell measurement considering ATG UE speed.</w:t>
      </w:r>
    </w:p>
    <w:p w:rsidR="004C2E00" w:rsidRDefault="004C2E00" w:rsidP="002D41FF">
      <w:pPr>
        <w:pStyle w:val="a0"/>
        <w:jc w:val="both"/>
        <w:rPr>
          <w:lang w:val="en-US" w:eastAsia="ko-KR"/>
        </w:rPr>
      </w:pPr>
    </w:p>
    <w:p w:rsidR="004C2E00" w:rsidRDefault="004C2E00" w:rsidP="002D41FF">
      <w:pPr>
        <w:pStyle w:val="a0"/>
        <w:jc w:val="both"/>
        <w:rPr>
          <w:lang w:val="en-US" w:eastAsia="ko-KR"/>
        </w:rPr>
      </w:pPr>
      <w:r w:rsidRPr="00D11D47">
        <w:rPr>
          <w:b/>
          <w:u w:val="single"/>
          <w:lang w:eastAsia="ko-KR"/>
        </w:rPr>
        <w:t>Small Data Transmissions (SDT)</w:t>
      </w:r>
    </w:p>
    <w:p w:rsidR="004C2E00" w:rsidRDefault="004C2E00" w:rsidP="002D41FF">
      <w:pPr>
        <w:pStyle w:val="a0"/>
        <w:jc w:val="both"/>
        <w:rPr>
          <w:lang w:val="en-US" w:eastAsia="ko-KR"/>
        </w:rPr>
      </w:pPr>
      <w:r>
        <w:rPr>
          <w:rFonts w:hint="eastAsia"/>
          <w:lang w:val="en-US" w:eastAsia="ko-KR"/>
        </w:rPr>
        <w:lastRenderedPageBreak/>
        <w:t xml:space="preserve">In </w:t>
      </w:r>
      <w:r w:rsidR="008327A7">
        <w:rPr>
          <w:lang w:val="en-US" w:eastAsia="ko-KR"/>
        </w:rPr>
        <w:t xml:space="preserve">the </w:t>
      </w:r>
      <w:r>
        <w:rPr>
          <w:rFonts w:hint="eastAsia"/>
          <w:lang w:val="en-US" w:eastAsia="ko-KR"/>
        </w:rPr>
        <w:t xml:space="preserve">ATG scenario, </w:t>
      </w:r>
      <w:r>
        <w:rPr>
          <w:lang w:val="en-US" w:eastAsia="ko-KR"/>
        </w:rPr>
        <w:t>the use case of small data transmission is not clear, so no SDT requirements for ATG is preferred in this release.</w:t>
      </w:r>
    </w:p>
    <w:p w:rsidR="004C2E00" w:rsidRDefault="004C2E00" w:rsidP="004C2E00">
      <w:pPr>
        <w:pStyle w:val="a0"/>
        <w:numPr>
          <w:ilvl w:val="0"/>
          <w:numId w:val="19"/>
        </w:numPr>
        <w:jc w:val="both"/>
        <w:rPr>
          <w:lang w:val="en-US" w:eastAsia="ko-KR"/>
        </w:rPr>
      </w:pPr>
      <w:r w:rsidRPr="004C2E00">
        <w:rPr>
          <w:b/>
          <w:i/>
          <w:lang w:val="en-US" w:eastAsia="ko-KR"/>
        </w:rPr>
        <w:t xml:space="preserve">Proposal </w:t>
      </w:r>
      <w:r w:rsidR="006F0007">
        <w:rPr>
          <w:b/>
          <w:i/>
          <w:lang w:val="en-US" w:eastAsia="ko-KR"/>
        </w:rPr>
        <w:t>5</w:t>
      </w:r>
      <w:r>
        <w:rPr>
          <w:lang w:val="en-US" w:eastAsia="ko-KR"/>
        </w:rPr>
        <w:t xml:space="preserve">: </w:t>
      </w:r>
      <w:r w:rsidRPr="004C2E00">
        <w:rPr>
          <w:lang w:val="en-US" w:eastAsia="ko-KR"/>
        </w:rPr>
        <w:t>RAN4 is not going to define ATG specific requirements</w:t>
      </w:r>
    </w:p>
    <w:p w:rsidR="004C2E00" w:rsidRDefault="004C2E00" w:rsidP="004C2E00">
      <w:pPr>
        <w:pStyle w:val="a0"/>
        <w:jc w:val="both"/>
        <w:rPr>
          <w:lang w:val="en-US" w:eastAsia="ko-KR"/>
        </w:rPr>
      </w:pPr>
    </w:p>
    <w:p w:rsidR="004C2E00" w:rsidRPr="004C2E00" w:rsidRDefault="004C2E00" w:rsidP="004C2E00">
      <w:pPr>
        <w:pStyle w:val="2"/>
        <w:rPr>
          <w:lang w:val="en-US" w:eastAsia="ko-KR"/>
        </w:rPr>
      </w:pPr>
      <w:r w:rsidRPr="004C2E00">
        <w:rPr>
          <w:lang w:val="en-US" w:eastAsia="ko-KR"/>
        </w:rPr>
        <w:t xml:space="preserve">Timing and frequency adjustment </w:t>
      </w:r>
    </w:p>
    <w:p w:rsidR="00DA7CAB" w:rsidRPr="00DA5020" w:rsidRDefault="00DA5020" w:rsidP="002C608B">
      <w:pPr>
        <w:pStyle w:val="a0"/>
        <w:jc w:val="both"/>
        <w:rPr>
          <w:b/>
          <w:u w:val="single"/>
          <w:lang w:eastAsia="ko-KR"/>
        </w:rPr>
      </w:pPr>
      <w:r w:rsidRPr="00DA5020">
        <w:rPr>
          <w:b/>
          <w:u w:val="single"/>
          <w:lang w:eastAsia="ko-KR"/>
        </w:rPr>
        <w:t>UE based Timing pre-compensation</w:t>
      </w:r>
    </w:p>
    <w:p w:rsidR="00DA7CAB" w:rsidRDefault="003E365E" w:rsidP="00DA5020">
      <w:pPr>
        <w:pStyle w:val="a0"/>
        <w:rPr>
          <w:lang w:val="en-US" w:eastAsia="ko-KR"/>
        </w:rPr>
      </w:pPr>
      <w:r>
        <w:rPr>
          <w:lang w:val="en-US" w:eastAsia="ko-KR"/>
        </w:rPr>
        <w:t>T</w:t>
      </w:r>
      <w:r>
        <w:rPr>
          <w:rFonts w:hint="eastAsia"/>
          <w:lang w:val="en-US" w:eastAsia="ko-KR"/>
        </w:rPr>
        <w:t xml:space="preserve">he </w:t>
      </w:r>
      <w:r>
        <w:rPr>
          <w:lang w:val="en-US" w:eastAsia="ko-KR"/>
        </w:rPr>
        <w:t xml:space="preserve">existing max TA for RAR is 1ms for </w:t>
      </w:r>
      <w:proofErr w:type="gramStart"/>
      <w:r>
        <w:rPr>
          <w:lang w:val="en-US" w:eastAsia="ko-KR"/>
        </w:rPr>
        <w:t>30kHz</w:t>
      </w:r>
      <w:proofErr w:type="gramEnd"/>
      <w:r>
        <w:rPr>
          <w:lang w:val="en-US" w:eastAsia="ko-KR"/>
        </w:rPr>
        <w:t xml:space="preserve"> SCS, and it could cover 300km distance. TA adjustment for MAC-CE could also handle the ATG UE speed (up to 1200km/h). </w:t>
      </w:r>
      <w:r w:rsidR="00CF2EAA">
        <w:rPr>
          <w:lang w:val="en-US" w:eastAsia="ko-KR"/>
        </w:rPr>
        <w:t>E</w:t>
      </w:r>
      <w:r>
        <w:rPr>
          <w:lang w:val="en-US" w:eastAsia="ko-KR"/>
        </w:rPr>
        <w:t xml:space="preserve">ven if </w:t>
      </w:r>
      <w:r w:rsidR="00DA5020">
        <w:rPr>
          <w:lang w:val="en-US" w:eastAsia="ko-KR"/>
        </w:rPr>
        <w:t>extremely large cell coverage and high speed</w:t>
      </w:r>
      <w:r>
        <w:rPr>
          <w:lang w:val="en-US" w:eastAsia="ko-KR"/>
        </w:rPr>
        <w:t xml:space="preserve"> are considered in ATG, the existing TA adjustment procedure could be applicable. However, ATG UE is GNSS capable </w:t>
      </w:r>
      <w:r w:rsidR="00CF2EAA">
        <w:rPr>
          <w:lang w:val="en-US" w:eastAsia="ko-KR"/>
        </w:rPr>
        <w:t>UE, and timing pre-compensation could be performed. So, if the timing pre-compensation is introduced, signaling overhead might be reduced, and other gains need to be investigated further.</w:t>
      </w:r>
    </w:p>
    <w:p w:rsidR="002C608B" w:rsidRPr="00CF2EAA" w:rsidRDefault="00CF2EAA" w:rsidP="00CF2EAA">
      <w:pPr>
        <w:pStyle w:val="a0"/>
        <w:numPr>
          <w:ilvl w:val="0"/>
          <w:numId w:val="19"/>
        </w:numPr>
        <w:jc w:val="both"/>
        <w:rPr>
          <w:lang w:val="en-US" w:eastAsia="ko-KR"/>
        </w:rPr>
      </w:pPr>
      <w:r w:rsidRPr="00CF2EAA">
        <w:rPr>
          <w:b/>
          <w:i/>
          <w:lang w:val="en-US" w:eastAsia="ko-KR"/>
        </w:rPr>
        <w:t xml:space="preserve">Proposal </w:t>
      </w:r>
      <w:r w:rsidR="006F0007">
        <w:rPr>
          <w:b/>
          <w:i/>
          <w:lang w:val="en-US" w:eastAsia="ko-KR"/>
        </w:rPr>
        <w:t>6</w:t>
      </w:r>
      <w:r w:rsidR="00712D9B" w:rsidRPr="00712D9B">
        <w:rPr>
          <w:lang w:val="en-US" w:eastAsia="ko-KR"/>
        </w:rPr>
        <w:t>:</w:t>
      </w:r>
      <w:r>
        <w:rPr>
          <w:lang w:val="en-US" w:eastAsia="ko-KR"/>
        </w:rPr>
        <w:t xml:space="preserve"> Existing TA adjustment procedure can be reused for ATG, but other benefits such as signaling overhead reduction need to be investigated further by introducing timing pre-compensation.</w:t>
      </w:r>
    </w:p>
    <w:p w:rsidR="004C2E00" w:rsidRDefault="004C2E00" w:rsidP="004C2E00">
      <w:pPr>
        <w:pStyle w:val="a0"/>
        <w:jc w:val="both"/>
        <w:rPr>
          <w:lang w:val="en-US" w:eastAsia="ko-KR"/>
        </w:rPr>
      </w:pPr>
    </w:p>
    <w:p w:rsidR="00712D9B" w:rsidRPr="00712D9B" w:rsidRDefault="00712D9B" w:rsidP="004C2E00">
      <w:pPr>
        <w:pStyle w:val="a0"/>
        <w:jc w:val="both"/>
        <w:rPr>
          <w:b/>
          <w:u w:val="single"/>
          <w:lang w:val="en-US" w:eastAsia="ko-KR"/>
        </w:rPr>
      </w:pPr>
      <w:proofErr w:type="spellStart"/>
      <w:proofErr w:type="gramStart"/>
      <w:r w:rsidRPr="00712D9B">
        <w:rPr>
          <w:rFonts w:hint="eastAsia"/>
          <w:b/>
          <w:u w:val="single"/>
          <w:lang w:val="en-US" w:eastAsia="ko-KR"/>
        </w:rPr>
        <w:t>deriveSSB-IndexFromCell</w:t>
      </w:r>
      <w:proofErr w:type="spellEnd"/>
      <w:proofErr w:type="gramEnd"/>
    </w:p>
    <w:p w:rsidR="00712D9B" w:rsidRDefault="00712D9B" w:rsidP="00712D9B">
      <w:pPr>
        <w:pStyle w:val="a0"/>
        <w:jc w:val="both"/>
        <w:rPr>
          <w:lang w:val="en-US" w:eastAsia="ko-KR"/>
        </w:rPr>
      </w:pPr>
      <w:r>
        <w:rPr>
          <w:lang w:val="en-US" w:eastAsia="ko-KR"/>
        </w:rPr>
        <w:t xml:space="preserve">For </w:t>
      </w:r>
      <w:r>
        <w:rPr>
          <w:rFonts w:hint="eastAsia"/>
          <w:lang w:val="en-US" w:eastAsia="ko-KR"/>
        </w:rPr>
        <w:t>NR FR1 TDD</w:t>
      </w:r>
      <w:r>
        <w:rPr>
          <w:lang w:val="en-US" w:eastAsia="ko-KR"/>
        </w:rPr>
        <w:t xml:space="preserve">, </w:t>
      </w:r>
      <w:proofErr w:type="spellStart"/>
      <w:r w:rsidRPr="003834D3">
        <w:rPr>
          <w:i/>
          <w:lang w:val="en-US" w:eastAsia="ko-KR"/>
        </w:rPr>
        <w:t>deriveSSB-IndexFromCell</w:t>
      </w:r>
      <w:proofErr w:type="spellEnd"/>
      <w:r>
        <w:rPr>
          <w:lang w:val="en-US" w:eastAsia="ko-KR"/>
        </w:rPr>
        <w:t xml:space="preserve"> is always enabled, so UE can assume that </w:t>
      </w:r>
      <w:r w:rsidR="008327A7">
        <w:rPr>
          <w:lang w:val="en-US" w:eastAsia="ko-KR"/>
        </w:rPr>
        <w:t xml:space="preserve">the </w:t>
      </w:r>
      <w:r>
        <w:rPr>
          <w:lang w:val="en-US" w:eastAsia="ko-KR"/>
        </w:rPr>
        <w:t xml:space="preserve">neighbor cell is synchronous with </w:t>
      </w:r>
      <w:r w:rsidR="008327A7">
        <w:rPr>
          <w:lang w:val="en-US" w:eastAsia="ko-KR"/>
        </w:rPr>
        <w:t xml:space="preserve">the </w:t>
      </w:r>
      <w:r>
        <w:rPr>
          <w:lang w:val="en-US" w:eastAsia="ko-KR"/>
        </w:rPr>
        <w:t xml:space="preserve">serving cell. However, since </w:t>
      </w:r>
      <w:r w:rsidR="008327A7">
        <w:rPr>
          <w:lang w:val="en-US" w:eastAsia="ko-KR"/>
        </w:rPr>
        <w:t xml:space="preserve">a </w:t>
      </w:r>
      <w:r>
        <w:rPr>
          <w:lang w:val="en-US" w:eastAsia="ko-KR"/>
        </w:rPr>
        <w:t xml:space="preserve">longer propagation delay for ATG NR FR1 TDD would be observed as mentioned in </w:t>
      </w:r>
      <w:r w:rsidR="008327A7">
        <w:rPr>
          <w:lang w:val="en-US" w:eastAsia="ko-KR"/>
        </w:rPr>
        <w:t xml:space="preserve">the </w:t>
      </w:r>
      <w:r>
        <w:rPr>
          <w:lang w:val="en-US" w:eastAsia="ko-KR"/>
        </w:rPr>
        <w:t xml:space="preserve">previous sub-section, </w:t>
      </w:r>
      <w:proofErr w:type="spellStart"/>
      <w:r w:rsidRPr="003834D3">
        <w:rPr>
          <w:i/>
          <w:lang w:val="en-US" w:eastAsia="ko-KR"/>
        </w:rPr>
        <w:t>deriveSSB-IndexFromCell</w:t>
      </w:r>
      <w:proofErr w:type="spellEnd"/>
      <w:r>
        <w:rPr>
          <w:lang w:val="en-US" w:eastAsia="ko-KR"/>
        </w:rPr>
        <w:t xml:space="preserve"> cannot be always enabled. To avoid acquiring the index of the SSB being measured, ATG UE might consider </w:t>
      </w:r>
      <w:r w:rsidR="008327A7">
        <w:rPr>
          <w:lang w:val="en-US" w:eastAsia="ko-KR"/>
        </w:rPr>
        <w:t xml:space="preserve">the </w:t>
      </w:r>
      <w:r>
        <w:rPr>
          <w:lang w:val="en-US" w:eastAsia="ko-KR"/>
        </w:rPr>
        <w:t xml:space="preserve">applicability of </w:t>
      </w:r>
      <w:proofErr w:type="spellStart"/>
      <w:r w:rsidRPr="003834D3">
        <w:rPr>
          <w:i/>
          <w:lang w:val="en-US" w:eastAsia="ko-KR"/>
        </w:rPr>
        <w:t>deriveSSB-IndexFromCell</w:t>
      </w:r>
      <w:proofErr w:type="spellEnd"/>
      <w:r>
        <w:rPr>
          <w:i/>
          <w:lang w:val="en-US" w:eastAsia="ko-KR"/>
        </w:rPr>
        <w:t xml:space="preserve"> </w:t>
      </w:r>
      <w:r>
        <w:rPr>
          <w:lang w:val="en-US" w:eastAsia="ko-KR"/>
        </w:rPr>
        <w:t xml:space="preserve">according to the propagation delay information. For example, </w:t>
      </w:r>
      <w:r w:rsidR="008327A7">
        <w:rPr>
          <w:lang w:val="en-US" w:eastAsia="ko-KR"/>
        </w:rPr>
        <w:t xml:space="preserve">if </w:t>
      </w:r>
      <w:r>
        <w:rPr>
          <w:lang w:val="en-US" w:eastAsia="ko-KR"/>
        </w:rPr>
        <w:t xml:space="preserve">the propagation delay difference from serving and neighbor cell is less than </w:t>
      </w:r>
      <w:r w:rsidR="008327A7">
        <w:rPr>
          <w:lang w:val="en-US" w:eastAsia="ko-KR"/>
        </w:rPr>
        <w:t xml:space="preserve">a </w:t>
      </w:r>
      <w:r>
        <w:rPr>
          <w:lang w:val="en-US" w:eastAsia="ko-KR"/>
        </w:rPr>
        <w:t xml:space="preserve">certain time, ATG UE could assume that </w:t>
      </w:r>
      <w:proofErr w:type="spellStart"/>
      <w:r w:rsidRPr="003834D3">
        <w:rPr>
          <w:i/>
          <w:lang w:val="en-US" w:eastAsia="ko-KR"/>
        </w:rPr>
        <w:t>deriveSSB-IndexFromCell</w:t>
      </w:r>
      <w:proofErr w:type="spellEnd"/>
      <w:r>
        <w:rPr>
          <w:i/>
          <w:lang w:val="en-US" w:eastAsia="ko-KR"/>
        </w:rPr>
        <w:t xml:space="preserve"> </w:t>
      </w:r>
      <w:r>
        <w:rPr>
          <w:lang w:val="en-US" w:eastAsia="ko-KR"/>
        </w:rPr>
        <w:t>is valid.</w:t>
      </w:r>
    </w:p>
    <w:p w:rsidR="00712D9B" w:rsidRPr="003834D3" w:rsidRDefault="00712D9B" w:rsidP="00712D9B">
      <w:pPr>
        <w:pStyle w:val="a0"/>
        <w:numPr>
          <w:ilvl w:val="0"/>
          <w:numId w:val="19"/>
        </w:numPr>
        <w:jc w:val="both"/>
        <w:rPr>
          <w:lang w:val="en-US" w:eastAsia="ko-KR"/>
        </w:rPr>
      </w:pPr>
      <w:r w:rsidRPr="003834D3">
        <w:rPr>
          <w:b/>
          <w:i/>
          <w:lang w:val="en-US" w:eastAsia="ko-KR"/>
        </w:rPr>
        <w:t xml:space="preserve">Proposal </w:t>
      </w:r>
      <w:r w:rsidR="006F0007">
        <w:rPr>
          <w:b/>
          <w:i/>
          <w:lang w:val="en-US" w:eastAsia="ko-KR"/>
        </w:rPr>
        <w:t>7</w:t>
      </w:r>
      <w:r>
        <w:rPr>
          <w:lang w:val="en-US" w:eastAsia="ko-KR"/>
        </w:rPr>
        <w:t xml:space="preserve">: Due to longer propagation delay, </w:t>
      </w:r>
      <w:proofErr w:type="spellStart"/>
      <w:r w:rsidRPr="003834D3">
        <w:rPr>
          <w:i/>
          <w:lang w:val="en-US" w:eastAsia="ko-KR"/>
        </w:rPr>
        <w:t>deriveSSB-IndexFromCell</w:t>
      </w:r>
      <w:proofErr w:type="spellEnd"/>
      <w:r w:rsidRPr="003834D3">
        <w:rPr>
          <w:lang w:val="en-US" w:eastAsia="ko-KR"/>
        </w:rPr>
        <w:t xml:space="preserve"> </w:t>
      </w:r>
      <w:r>
        <w:rPr>
          <w:lang w:val="en-US" w:eastAsia="ko-KR"/>
        </w:rPr>
        <w:t xml:space="preserve">is not valid for ATG FR1 TDD. RAN4 can further discuss whether </w:t>
      </w:r>
      <w:r w:rsidR="008327A7">
        <w:rPr>
          <w:lang w:val="en-US" w:eastAsia="ko-KR"/>
        </w:rPr>
        <w:t xml:space="preserve">the </w:t>
      </w:r>
      <w:r>
        <w:rPr>
          <w:lang w:val="en-US" w:eastAsia="ko-KR"/>
        </w:rPr>
        <w:t xml:space="preserve">applicability of </w:t>
      </w:r>
      <w:proofErr w:type="spellStart"/>
      <w:r w:rsidRPr="003834D3">
        <w:rPr>
          <w:i/>
          <w:lang w:val="en-US" w:eastAsia="ko-KR"/>
        </w:rPr>
        <w:t>deriveSSB-IndexFromCell</w:t>
      </w:r>
      <w:proofErr w:type="spellEnd"/>
      <w:r>
        <w:rPr>
          <w:i/>
          <w:lang w:val="en-US" w:eastAsia="ko-KR"/>
        </w:rPr>
        <w:t xml:space="preserve"> </w:t>
      </w:r>
      <w:r>
        <w:rPr>
          <w:lang w:val="en-US" w:eastAsia="ko-KR"/>
        </w:rPr>
        <w:t xml:space="preserve">according to the propagation delay information is valid. </w:t>
      </w:r>
    </w:p>
    <w:p w:rsidR="00B90403" w:rsidRDefault="00B90403" w:rsidP="00B90403">
      <w:pPr>
        <w:pStyle w:val="a0"/>
        <w:jc w:val="both"/>
        <w:rPr>
          <w:b/>
          <w:u w:val="single"/>
          <w:lang w:val="en-US" w:eastAsia="ko-KR"/>
        </w:rPr>
      </w:pPr>
    </w:p>
    <w:p w:rsidR="00B90403" w:rsidRDefault="00B90403" w:rsidP="00B90403">
      <w:pPr>
        <w:pStyle w:val="a0"/>
        <w:jc w:val="both"/>
        <w:rPr>
          <w:b/>
          <w:u w:val="single"/>
          <w:lang w:val="en-US" w:eastAsia="ko-KR"/>
        </w:rPr>
      </w:pPr>
      <w:r>
        <w:rPr>
          <w:b/>
          <w:u w:val="single"/>
          <w:lang w:val="en-US" w:eastAsia="ko-KR"/>
        </w:rPr>
        <w:t>Cell phase synchronization accuracy</w:t>
      </w:r>
    </w:p>
    <w:tbl>
      <w:tblPr>
        <w:tblStyle w:val="a9"/>
        <w:tblW w:w="0" w:type="auto"/>
        <w:tblLook w:val="04A0" w:firstRow="1" w:lastRow="0" w:firstColumn="1" w:lastColumn="0" w:noHBand="0" w:noVBand="1"/>
      </w:tblPr>
      <w:tblGrid>
        <w:gridCol w:w="9855"/>
      </w:tblGrid>
      <w:tr w:rsidR="00B90403" w:rsidTr="00B90403">
        <w:tc>
          <w:tcPr>
            <w:tcW w:w="9855" w:type="dxa"/>
          </w:tcPr>
          <w:p w:rsidR="00B90403" w:rsidRPr="00C45113" w:rsidRDefault="00B90403" w:rsidP="00B90403">
            <w:pPr>
              <w:rPr>
                <w:b/>
                <w:u w:val="single"/>
                <w:lang w:eastAsia="ko-KR"/>
              </w:rPr>
            </w:pPr>
            <w:r w:rsidRPr="00C45113">
              <w:rPr>
                <w:b/>
                <w:u w:val="single"/>
                <w:lang w:eastAsia="ko-KR"/>
              </w:rPr>
              <w:t>Issue 3-3-4: Cell phase synchronization accuracy</w:t>
            </w:r>
          </w:p>
          <w:p w:rsidR="00B90403" w:rsidRDefault="00B90403" w:rsidP="00B90403">
            <w:pPr>
              <w:pStyle w:val="ad"/>
              <w:numPr>
                <w:ilvl w:val="0"/>
                <w:numId w:val="3"/>
              </w:numPr>
              <w:autoSpaceDN w:val="0"/>
              <w:ind w:leftChars="0" w:hanging="357"/>
              <w:rPr>
                <w:rFonts w:eastAsia="SimSun"/>
              </w:rPr>
            </w:pPr>
            <w:r w:rsidRPr="00C45113">
              <w:rPr>
                <w:rFonts w:eastAsia="SimSun"/>
              </w:rPr>
              <w:t>Cell phase synchronization accuracy will be defined for ATG, the legacy TN requirement can be the baseline</w:t>
            </w:r>
          </w:p>
          <w:p w:rsidR="00B90403" w:rsidRPr="00B90403" w:rsidRDefault="00B90403" w:rsidP="00B90403">
            <w:pPr>
              <w:pStyle w:val="ad"/>
              <w:numPr>
                <w:ilvl w:val="1"/>
                <w:numId w:val="3"/>
              </w:numPr>
              <w:autoSpaceDN w:val="0"/>
              <w:spacing w:after="120"/>
              <w:ind w:leftChars="0"/>
              <w:rPr>
                <w:lang w:eastAsia="ko-KR"/>
              </w:rPr>
            </w:pPr>
            <w:r w:rsidRPr="00C45113">
              <w:rPr>
                <w:rFonts w:eastAsia="SimSun"/>
              </w:rPr>
              <w:t>FFS whether to tighten the requirements or not</w:t>
            </w:r>
          </w:p>
        </w:tc>
      </w:tr>
    </w:tbl>
    <w:p w:rsidR="00B90403" w:rsidRDefault="00B90403" w:rsidP="00B90403">
      <w:pPr>
        <w:pStyle w:val="a0"/>
        <w:jc w:val="both"/>
        <w:rPr>
          <w:lang w:val="en-US" w:eastAsia="ko-KR"/>
        </w:rPr>
      </w:pPr>
    </w:p>
    <w:p w:rsidR="00B90403" w:rsidRDefault="00B90403" w:rsidP="00B90403">
      <w:pPr>
        <w:pStyle w:val="a0"/>
        <w:jc w:val="both"/>
        <w:rPr>
          <w:lang w:val="en-US" w:eastAsia="ko-KR"/>
        </w:rPr>
      </w:pPr>
      <w:r>
        <w:rPr>
          <w:lang w:val="en-US" w:eastAsia="ko-KR"/>
        </w:rPr>
        <w:t xml:space="preserve">For the cell </w:t>
      </w:r>
      <w:r w:rsidR="00BE719C">
        <w:rPr>
          <w:lang w:val="en-US" w:eastAsia="ko-KR"/>
        </w:rPr>
        <w:t>phase</w:t>
      </w:r>
      <w:r>
        <w:rPr>
          <w:lang w:val="en-US" w:eastAsia="ko-KR"/>
        </w:rPr>
        <w:t xml:space="preserve"> synchronization accuracy, above WF is agreed. We think the cell phase synchronization </w:t>
      </w:r>
      <w:r w:rsidR="00BE719C">
        <w:rPr>
          <w:lang w:val="en-US" w:eastAsia="ko-KR"/>
        </w:rPr>
        <w:t>accuracy</w:t>
      </w:r>
      <w:r>
        <w:rPr>
          <w:lang w:val="en-US" w:eastAsia="ko-KR"/>
        </w:rPr>
        <w:t xml:space="preserve"> does not need to be tightened due to the long propagation delay. In our understanding, about 500us delay is expected at UE side in ATG NW. Thus, even if less than 3us is assumed to be used as cell phase synchronization accuracy for ATG NW, UE will experience larger delay difference compared than legacy NR network. So, legacy cell phase synchronization accuracy can be reused.</w:t>
      </w:r>
    </w:p>
    <w:p w:rsidR="00B90403" w:rsidRPr="003834D3" w:rsidRDefault="00B90403" w:rsidP="00B90403">
      <w:pPr>
        <w:pStyle w:val="a0"/>
        <w:numPr>
          <w:ilvl w:val="0"/>
          <w:numId w:val="19"/>
        </w:numPr>
        <w:jc w:val="both"/>
        <w:rPr>
          <w:lang w:val="en-US" w:eastAsia="ko-KR"/>
        </w:rPr>
      </w:pPr>
      <w:r w:rsidRPr="003834D3">
        <w:rPr>
          <w:b/>
          <w:i/>
          <w:lang w:val="en-US" w:eastAsia="ko-KR"/>
        </w:rPr>
        <w:t xml:space="preserve">Proposal </w:t>
      </w:r>
      <w:r w:rsidR="00E31959">
        <w:rPr>
          <w:b/>
          <w:i/>
          <w:lang w:val="en-US" w:eastAsia="ko-KR"/>
        </w:rPr>
        <w:t>8</w:t>
      </w:r>
      <w:r>
        <w:rPr>
          <w:lang w:val="en-US" w:eastAsia="ko-KR"/>
        </w:rPr>
        <w:t>: Reuse legacy cell phase synchronization accuracy.</w:t>
      </w:r>
    </w:p>
    <w:p w:rsidR="00B90403" w:rsidRPr="00B90403" w:rsidRDefault="00B90403" w:rsidP="00B90403">
      <w:pPr>
        <w:pStyle w:val="a0"/>
        <w:jc w:val="both"/>
        <w:rPr>
          <w:b/>
          <w:u w:val="single"/>
          <w:lang w:val="en-US" w:eastAsia="ko-KR"/>
        </w:rPr>
      </w:pPr>
    </w:p>
    <w:p w:rsidR="00E35758" w:rsidRDefault="00E35758" w:rsidP="004C2E00">
      <w:pPr>
        <w:pStyle w:val="a0"/>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w:t>
      </w:r>
      <w:r w:rsidR="000A27C2">
        <w:rPr>
          <w:lang w:val="en-US" w:eastAsia="ko-KR"/>
        </w:rPr>
        <w:t>on</w:t>
      </w:r>
      <w:r w:rsidR="00D43D06" w:rsidRPr="00D43D06">
        <w:rPr>
          <w:lang w:val="en-US" w:eastAsia="ko-KR"/>
        </w:rPr>
        <w:t xml:space="preserve"> </w:t>
      </w:r>
      <w:r w:rsidR="00D43D06">
        <w:rPr>
          <w:lang w:val="en-US" w:eastAsia="ko-KR"/>
        </w:rPr>
        <w:t>RRM core issues for ATG UE</w:t>
      </w:r>
      <w:r w:rsidR="00611378">
        <w:rPr>
          <w:lang w:val="en-US" w:eastAsia="ko-KR"/>
        </w:rPr>
        <w:t>, and we propose</w:t>
      </w:r>
    </w:p>
    <w:p w:rsidR="00BE719C" w:rsidRDefault="00BE719C" w:rsidP="00BE719C">
      <w:pPr>
        <w:pStyle w:val="a0"/>
        <w:numPr>
          <w:ilvl w:val="0"/>
          <w:numId w:val="19"/>
        </w:numPr>
        <w:jc w:val="both"/>
        <w:rPr>
          <w:lang w:val="en-US" w:eastAsia="ko-KR"/>
        </w:rPr>
      </w:pPr>
      <w:r w:rsidRPr="0068709A">
        <w:rPr>
          <w:b/>
          <w:i/>
          <w:lang w:val="en-US" w:eastAsia="ko-KR"/>
        </w:rPr>
        <w:t>Proposal 1</w:t>
      </w:r>
      <w:r>
        <w:rPr>
          <w:lang w:val="en-US" w:eastAsia="ko-KR"/>
        </w:rPr>
        <w:t xml:space="preserve">: </w:t>
      </w:r>
      <w:r w:rsidR="00843DF3" w:rsidRPr="001C6BF3">
        <w:rPr>
          <w:lang w:val="en-US" w:eastAsia="ko-KR"/>
        </w:rPr>
        <w:t xml:space="preserve">The propagation delay information between </w:t>
      </w:r>
      <w:proofErr w:type="spellStart"/>
      <w:r w:rsidR="00843DF3" w:rsidRPr="001C6BF3">
        <w:rPr>
          <w:lang w:val="en-US" w:eastAsia="ko-KR"/>
        </w:rPr>
        <w:t>gNB</w:t>
      </w:r>
      <w:proofErr w:type="spellEnd"/>
      <w:r w:rsidR="00843DF3" w:rsidRPr="001C6BF3">
        <w:rPr>
          <w:lang w:val="en-US" w:eastAsia="ko-KR"/>
        </w:rPr>
        <w:t xml:space="preserve"> and ATG UE should be known by </w:t>
      </w:r>
      <w:proofErr w:type="spellStart"/>
      <w:r w:rsidR="00843DF3" w:rsidRPr="001C6BF3">
        <w:rPr>
          <w:lang w:val="en-US" w:eastAsia="ko-KR"/>
        </w:rPr>
        <w:t>gNB</w:t>
      </w:r>
      <w:proofErr w:type="spellEnd"/>
      <w:r w:rsidR="00843DF3" w:rsidRPr="001C6BF3">
        <w:rPr>
          <w:lang w:val="en-US" w:eastAsia="ko-KR"/>
        </w:rPr>
        <w:t xml:space="preserve"> since TDD operation can be affected by the propagation delay which can be up to one slot duration depending on the ATG UE position.</w:t>
      </w:r>
      <w:r>
        <w:rPr>
          <w:lang w:val="en-US" w:eastAsia="ko-KR"/>
        </w:rPr>
        <w:t xml:space="preserve"> </w:t>
      </w:r>
    </w:p>
    <w:p w:rsidR="00CF10A4" w:rsidRDefault="00CF10A4" w:rsidP="00CF10A4">
      <w:pPr>
        <w:pStyle w:val="a0"/>
        <w:numPr>
          <w:ilvl w:val="0"/>
          <w:numId w:val="19"/>
        </w:numPr>
        <w:jc w:val="both"/>
        <w:rPr>
          <w:lang w:val="en-US" w:eastAsia="ko-KR"/>
        </w:rPr>
      </w:pPr>
      <w:r w:rsidRPr="0018563A">
        <w:rPr>
          <w:b/>
          <w:i/>
          <w:lang w:val="en-US" w:eastAsia="ko-KR"/>
        </w:rPr>
        <w:t xml:space="preserve">Proposal </w:t>
      </w:r>
      <w:r>
        <w:rPr>
          <w:b/>
          <w:i/>
          <w:lang w:val="en-US" w:eastAsia="ko-KR"/>
        </w:rPr>
        <w:t>2</w:t>
      </w:r>
      <w:r>
        <w:rPr>
          <w:lang w:val="en-US" w:eastAsia="ko-KR"/>
        </w:rPr>
        <w:t xml:space="preserve">: </w:t>
      </w:r>
      <w:r w:rsidR="001C0E60">
        <w:rPr>
          <w:lang w:val="en-US" w:eastAsia="ko-KR"/>
        </w:rPr>
        <w:t xml:space="preserve">For further discussion, </w:t>
      </w:r>
      <w:r>
        <w:rPr>
          <w:lang w:val="en-US" w:eastAsia="ko-KR"/>
        </w:rPr>
        <w:t>RAN4 can categorize UE assistance information into RRM requirement: measurement, timing and mobility.</w:t>
      </w:r>
      <w:r>
        <w:rPr>
          <w:rFonts w:hint="eastAsia"/>
          <w:lang w:val="en-US" w:eastAsia="ko-KR"/>
        </w:rPr>
        <w:t xml:space="preserve"> </w:t>
      </w:r>
      <w:r>
        <w:rPr>
          <w:lang w:val="en-US" w:eastAsia="ko-KR"/>
        </w:rPr>
        <w:t>For example,</w:t>
      </w:r>
    </w:p>
    <w:p w:rsidR="00CF10A4" w:rsidRDefault="00CF10A4" w:rsidP="00CF10A4">
      <w:pPr>
        <w:pStyle w:val="a0"/>
        <w:ind w:leftChars="400" w:left="800"/>
        <w:jc w:val="both"/>
        <w:rPr>
          <w:lang w:val="en-US" w:eastAsia="ko-KR"/>
        </w:rPr>
      </w:pPr>
      <w:r>
        <w:rPr>
          <w:lang w:val="en-US" w:eastAsia="ko-KR"/>
        </w:rPr>
        <w:t>Measurement triggering/relaxation condition: altitude, distance between UE and BS, speed, velocity, etc.</w:t>
      </w:r>
    </w:p>
    <w:p w:rsidR="00CF10A4" w:rsidRPr="00CF5A9F" w:rsidRDefault="00CF10A4" w:rsidP="00CF10A4">
      <w:pPr>
        <w:pStyle w:val="a0"/>
        <w:ind w:leftChars="400" w:left="800"/>
        <w:jc w:val="both"/>
        <w:rPr>
          <w:lang w:val="en-US" w:eastAsia="ko-KR"/>
        </w:rPr>
      </w:pPr>
      <w:r>
        <w:rPr>
          <w:lang w:val="en-US" w:eastAsia="ko-KR"/>
        </w:rPr>
        <w:t>Measurement window configuration: propagation delay difference, propagation delay estimation, etc.</w:t>
      </w:r>
    </w:p>
    <w:p w:rsidR="00CF10A4" w:rsidRDefault="00CF10A4" w:rsidP="00CF10A4">
      <w:pPr>
        <w:pStyle w:val="a0"/>
        <w:ind w:leftChars="400" w:left="800"/>
        <w:jc w:val="both"/>
        <w:rPr>
          <w:lang w:val="en-US" w:eastAsia="ko-KR"/>
        </w:rPr>
      </w:pPr>
      <w:r>
        <w:rPr>
          <w:lang w:val="en-US" w:eastAsia="ko-KR"/>
        </w:rPr>
        <w:lastRenderedPageBreak/>
        <w:t>Timing: propagation delay difference, speed, velocity, propagation delay estimation, etc.</w:t>
      </w:r>
    </w:p>
    <w:p w:rsidR="00CF10A4" w:rsidRDefault="00CF10A4" w:rsidP="00CF10A4">
      <w:pPr>
        <w:pStyle w:val="a0"/>
        <w:ind w:leftChars="400" w:left="800"/>
        <w:jc w:val="both"/>
        <w:rPr>
          <w:lang w:val="en-US" w:eastAsia="ko-KR"/>
        </w:rPr>
      </w:pPr>
      <w:r>
        <w:rPr>
          <w:lang w:val="en-US" w:eastAsia="ko-KR"/>
        </w:rPr>
        <w:t>Handover: location, flight path, etc.</w:t>
      </w:r>
    </w:p>
    <w:p w:rsidR="00CF10A4" w:rsidRPr="009B5E05" w:rsidRDefault="00CF10A4" w:rsidP="00CF10A4">
      <w:pPr>
        <w:pStyle w:val="a0"/>
        <w:ind w:left="800"/>
        <w:jc w:val="both"/>
        <w:rPr>
          <w:lang w:val="en-US" w:eastAsia="ko-KR"/>
        </w:rPr>
      </w:pPr>
      <w:r>
        <w:rPr>
          <w:lang w:val="en-US" w:eastAsia="ko-KR"/>
        </w:rPr>
        <w:t xml:space="preserve">XXX: </w:t>
      </w:r>
      <w:proofErr w:type="spellStart"/>
      <w:r>
        <w:rPr>
          <w:lang w:val="en-US" w:eastAsia="ko-KR"/>
        </w:rPr>
        <w:t>yy</w:t>
      </w:r>
      <w:proofErr w:type="spellEnd"/>
      <w:r>
        <w:rPr>
          <w:lang w:val="en-US" w:eastAsia="ko-KR"/>
        </w:rPr>
        <w:t xml:space="preserve">, </w:t>
      </w:r>
      <w:proofErr w:type="spellStart"/>
      <w:r>
        <w:rPr>
          <w:lang w:val="en-US" w:eastAsia="ko-KR"/>
        </w:rPr>
        <w:t>zz</w:t>
      </w:r>
      <w:proofErr w:type="spellEnd"/>
      <w:r>
        <w:rPr>
          <w:lang w:val="en-US" w:eastAsia="ko-KR"/>
        </w:rPr>
        <w:t>, etc.</w:t>
      </w:r>
    </w:p>
    <w:p w:rsidR="00CF10A4" w:rsidRDefault="00CF10A4" w:rsidP="00CF10A4">
      <w:pPr>
        <w:pStyle w:val="a0"/>
        <w:numPr>
          <w:ilvl w:val="0"/>
          <w:numId w:val="19"/>
        </w:numPr>
        <w:jc w:val="both"/>
        <w:rPr>
          <w:lang w:val="en-US" w:eastAsia="ko-KR"/>
        </w:rPr>
      </w:pPr>
      <w:r w:rsidRPr="00652837">
        <w:rPr>
          <w:b/>
          <w:i/>
          <w:lang w:val="en-US" w:eastAsia="ko-KR"/>
        </w:rPr>
        <w:t xml:space="preserve">Proposal </w:t>
      </w:r>
      <w:r>
        <w:rPr>
          <w:b/>
          <w:i/>
          <w:lang w:val="en-US" w:eastAsia="ko-KR"/>
        </w:rPr>
        <w:t>3</w:t>
      </w:r>
      <w:r w:rsidRPr="00652837">
        <w:rPr>
          <w:b/>
          <w:i/>
          <w:lang w:val="en-US" w:eastAsia="ko-KR"/>
        </w:rPr>
        <w:t xml:space="preserve">: </w:t>
      </w:r>
      <w:r>
        <w:rPr>
          <w:lang w:val="en-US" w:eastAsia="ko-KR"/>
        </w:rPr>
        <w:t xml:space="preserve">RAN4 needs to study NW assistance information such </w:t>
      </w:r>
      <w:r w:rsidR="00100E22">
        <w:rPr>
          <w:lang w:val="en-US" w:eastAsia="ko-KR"/>
        </w:rPr>
        <w:t xml:space="preserve">as </w:t>
      </w:r>
      <w:r>
        <w:rPr>
          <w:lang w:val="en-US" w:eastAsia="ko-KR"/>
        </w:rPr>
        <w:t>ATG BS location.</w:t>
      </w:r>
    </w:p>
    <w:p w:rsidR="00BE719C" w:rsidRDefault="00BE719C" w:rsidP="00BE719C">
      <w:pPr>
        <w:pStyle w:val="a0"/>
        <w:numPr>
          <w:ilvl w:val="0"/>
          <w:numId w:val="19"/>
        </w:numPr>
        <w:jc w:val="both"/>
        <w:rPr>
          <w:lang w:val="en-US" w:eastAsia="ko-KR"/>
        </w:rPr>
      </w:pPr>
      <w:r w:rsidRPr="009E65FD">
        <w:rPr>
          <w:b/>
          <w:i/>
          <w:lang w:val="en-US" w:eastAsia="ko-KR"/>
        </w:rPr>
        <w:t xml:space="preserve">Proposal </w:t>
      </w:r>
      <w:r w:rsidR="00CF10A4">
        <w:rPr>
          <w:b/>
          <w:i/>
          <w:lang w:val="en-US" w:eastAsia="ko-KR"/>
        </w:rPr>
        <w:t>4</w:t>
      </w:r>
      <w:r>
        <w:rPr>
          <w:lang w:val="en-US" w:eastAsia="ko-KR"/>
        </w:rPr>
        <w:t>: Introduce distance based triggering as an additional condition for intra- and inter-frequency cell measurement considering ATG UE speed.</w:t>
      </w:r>
    </w:p>
    <w:p w:rsidR="00BE719C" w:rsidRDefault="00BE719C" w:rsidP="00BE719C">
      <w:pPr>
        <w:pStyle w:val="a0"/>
        <w:numPr>
          <w:ilvl w:val="0"/>
          <w:numId w:val="19"/>
        </w:numPr>
        <w:jc w:val="both"/>
        <w:rPr>
          <w:lang w:val="en-US" w:eastAsia="ko-KR"/>
        </w:rPr>
      </w:pPr>
      <w:r w:rsidRPr="004C2E00">
        <w:rPr>
          <w:b/>
          <w:i/>
          <w:lang w:val="en-US" w:eastAsia="ko-KR"/>
        </w:rPr>
        <w:t xml:space="preserve">Proposal </w:t>
      </w:r>
      <w:r w:rsidR="00CF10A4">
        <w:rPr>
          <w:b/>
          <w:i/>
          <w:lang w:val="en-US" w:eastAsia="ko-KR"/>
        </w:rPr>
        <w:t>5</w:t>
      </w:r>
      <w:r>
        <w:rPr>
          <w:lang w:val="en-US" w:eastAsia="ko-KR"/>
        </w:rPr>
        <w:t xml:space="preserve">: </w:t>
      </w:r>
      <w:r w:rsidRPr="004C2E00">
        <w:rPr>
          <w:lang w:val="en-US" w:eastAsia="ko-KR"/>
        </w:rPr>
        <w:t>RAN4 is not going to define ATG specific requirements</w:t>
      </w:r>
    </w:p>
    <w:p w:rsidR="00BE719C" w:rsidRPr="00CF2EAA" w:rsidRDefault="00BE719C" w:rsidP="00BE719C">
      <w:pPr>
        <w:pStyle w:val="a0"/>
        <w:numPr>
          <w:ilvl w:val="0"/>
          <w:numId w:val="19"/>
        </w:numPr>
        <w:jc w:val="both"/>
        <w:rPr>
          <w:lang w:val="en-US" w:eastAsia="ko-KR"/>
        </w:rPr>
      </w:pPr>
      <w:r w:rsidRPr="00CF2EAA">
        <w:rPr>
          <w:b/>
          <w:i/>
          <w:lang w:val="en-US" w:eastAsia="ko-KR"/>
        </w:rPr>
        <w:t xml:space="preserve">Proposal </w:t>
      </w:r>
      <w:r w:rsidR="00CF10A4">
        <w:rPr>
          <w:b/>
          <w:i/>
          <w:lang w:val="en-US" w:eastAsia="ko-KR"/>
        </w:rPr>
        <w:t>6</w:t>
      </w:r>
      <w:r w:rsidRPr="00712D9B">
        <w:rPr>
          <w:lang w:val="en-US" w:eastAsia="ko-KR"/>
        </w:rPr>
        <w:t>:</w:t>
      </w:r>
      <w:r>
        <w:rPr>
          <w:lang w:val="en-US" w:eastAsia="ko-KR"/>
        </w:rPr>
        <w:t xml:space="preserve"> Existing TA adjustment procedure can be reused for ATG, but other benefits such as signaling overhead reduction need to be investigated further by introducing timing pre-compensation.</w:t>
      </w:r>
    </w:p>
    <w:p w:rsidR="00BE719C" w:rsidRPr="003834D3" w:rsidRDefault="00BE719C" w:rsidP="00BE719C">
      <w:pPr>
        <w:pStyle w:val="a0"/>
        <w:numPr>
          <w:ilvl w:val="0"/>
          <w:numId w:val="19"/>
        </w:numPr>
        <w:jc w:val="both"/>
        <w:rPr>
          <w:lang w:val="en-US" w:eastAsia="ko-KR"/>
        </w:rPr>
      </w:pPr>
      <w:r w:rsidRPr="003834D3">
        <w:rPr>
          <w:b/>
          <w:i/>
          <w:lang w:val="en-US" w:eastAsia="ko-KR"/>
        </w:rPr>
        <w:t xml:space="preserve">Proposal </w:t>
      </w:r>
      <w:r w:rsidR="00CF10A4">
        <w:rPr>
          <w:b/>
          <w:i/>
          <w:lang w:val="en-US" w:eastAsia="ko-KR"/>
        </w:rPr>
        <w:t>7</w:t>
      </w:r>
      <w:r>
        <w:rPr>
          <w:lang w:val="en-US" w:eastAsia="ko-KR"/>
        </w:rPr>
        <w:t xml:space="preserve">: Due to longer propagation delay, </w:t>
      </w:r>
      <w:proofErr w:type="spellStart"/>
      <w:r w:rsidRPr="003834D3">
        <w:rPr>
          <w:i/>
          <w:lang w:val="en-US" w:eastAsia="ko-KR"/>
        </w:rPr>
        <w:t>deriveSSB-IndexFromCell</w:t>
      </w:r>
      <w:proofErr w:type="spellEnd"/>
      <w:r w:rsidRPr="003834D3">
        <w:rPr>
          <w:lang w:val="en-US" w:eastAsia="ko-KR"/>
        </w:rPr>
        <w:t xml:space="preserve"> </w:t>
      </w:r>
      <w:r>
        <w:rPr>
          <w:lang w:val="en-US" w:eastAsia="ko-KR"/>
        </w:rPr>
        <w:t xml:space="preserve">is not valid for ATG FR1 TDD. RAN4 can further discuss whether the applicability of </w:t>
      </w:r>
      <w:proofErr w:type="spellStart"/>
      <w:r w:rsidRPr="003834D3">
        <w:rPr>
          <w:i/>
          <w:lang w:val="en-US" w:eastAsia="ko-KR"/>
        </w:rPr>
        <w:t>deriveSSB-IndexFromCell</w:t>
      </w:r>
      <w:proofErr w:type="spellEnd"/>
      <w:r>
        <w:rPr>
          <w:i/>
          <w:lang w:val="en-US" w:eastAsia="ko-KR"/>
        </w:rPr>
        <w:t xml:space="preserve"> </w:t>
      </w:r>
      <w:r>
        <w:rPr>
          <w:lang w:val="en-US" w:eastAsia="ko-KR"/>
        </w:rPr>
        <w:t xml:space="preserve">according to the propagation delay information is valid. </w:t>
      </w:r>
    </w:p>
    <w:p w:rsidR="00BE719C" w:rsidRPr="003834D3" w:rsidRDefault="00BE719C" w:rsidP="00BE719C">
      <w:pPr>
        <w:pStyle w:val="a0"/>
        <w:numPr>
          <w:ilvl w:val="0"/>
          <w:numId w:val="19"/>
        </w:numPr>
        <w:jc w:val="both"/>
        <w:rPr>
          <w:lang w:val="en-US" w:eastAsia="ko-KR"/>
        </w:rPr>
      </w:pPr>
      <w:r w:rsidRPr="003834D3">
        <w:rPr>
          <w:b/>
          <w:i/>
          <w:lang w:val="en-US" w:eastAsia="ko-KR"/>
        </w:rPr>
        <w:t xml:space="preserve">Proposal </w:t>
      </w:r>
      <w:r w:rsidR="00CF10A4">
        <w:rPr>
          <w:b/>
          <w:i/>
          <w:lang w:val="en-US" w:eastAsia="ko-KR"/>
        </w:rPr>
        <w:t>8</w:t>
      </w:r>
      <w:r>
        <w:rPr>
          <w:lang w:val="en-US" w:eastAsia="ko-KR"/>
        </w:rPr>
        <w:t>: Reuse legacy cell phase synchronization accuracy.</w:t>
      </w:r>
    </w:p>
    <w:p w:rsidR="00C51F68" w:rsidRPr="00BE719C" w:rsidRDefault="00C51F68" w:rsidP="00D43D06">
      <w:pPr>
        <w:pStyle w:val="a0"/>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xml:space="preserve">] </w:t>
      </w:r>
      <w:r w:rsidR="00E35758" w:rsidRPr="00E35758">
        <w:rPr>
          <w:lang w:val="en-US" w:eastAsia="ko-KR"/>
        </w:rPr>
        <w:t>R4-2214347</w:t>
      </w:r>
      <w:r w:rsidR="00CD0965">
        <w:rPr>
          <w:lang w:val="en-US" w:eastAsia="ko-KR"/>
        </w:rPr>
        <w:t>, “</w:t>
      </w:r>
      <w:r w:rsidR="00E35758" w:rsidRPr="00E35758">
        <w:rPr>
          <w:lang w:val="en-US" w:eastAsia="ko-KR"/>
        </w:rPr>
        <w:t>WF on NR ATG RRM core requirements</w:t>
      </w:r>
      <w:r w:rsidR="00CD0965">
        <w:rPr>
          <w:lang w:val="en-US" w:eastAsia="ko-KR"/>
        </w:rPr>
        <w:t xml:space="preserve">,” </w:t>
      </w:r>
      <w:r w:rsidR="00E422B0">
        <w:rPr>
          <w:lang w:val="en-US" w:eastAsia="ko-KR"/>
        </w:rPr>
        <w:t>CMCC</w:t>
      </w:r>
      <w:r w:rsidR="00CD0965">
        <w:rPr>
          <w:lang w:val="en-US" w:eastAsia="ko-KR"/>
        </w:rPr>
        <w:t>.</w:t>
      </w:r>
    </w:p>
    <w:sectPr w:rsidR="0075279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37B" w:rsidRDefault="00E7637B" w:rsidP="00D306DF">
      <w:r>
        <w:separator/>
      </w:r>
    </w:p>
  </w:endnote>
  <w:endnote w:type="continuationSeparator" w:id="0">
    <w:p w:rsidR="00E7637B" w:rsidRDefault="00E7637B"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37B" w:rsidRDefault="00E7637B" w:rsidP="00D306DF">
      <w:r>
        <w:separator/>
      </w:r>
    </w:p>
  </w:footnote>
  <w:footnote w:type="continuationSeparator" w:id="0">
    <w:p w:rsidR="00E7637B" w:rsidRDefault="00E7637B"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15:restartNumberingAfterBreak="0">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F3C79E6"/>
    <w:multiLevelType w:val="hybridMultilevel"/>
    <w:tmpl w:val="AB24089A"/>
    <w:lvl w:ilvl="0" w:tplc="B170B0C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63E5508"/>
    <w:multiLevelType w:val="multilevel"/>
    <w:tmpl w:val="C1A6940A"/>
    <w:lvl w:ilvl="0">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CBD6824"/>
    <w:multiLevelType w:val="hybridMultilevel"/>
    <w:tmpl w:val="FBDCC76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DCA40B1"/>
    <w:multiLevelType w:val="hybridMultilevel"/>
    <w:tmpl w:val="1EB6A768"/>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D0583DDC">
      <w:numFmt w:val="bullet"/>
      <w:lvlText w:val="•"/>
      <w:lvlJc w:val="left"/>
      <w:pPr>
        <w:ind w:left="2880" w:hanging="360"/>
      </w:pPr>
      <w:rPr>
        <w:rFonts w:ascii="맑은 고딕" w:eastAsia="맑은 고딕" w:hAnsi="맑은 고딕" w:cs="Times New Roman" w:hint="eastAsia"/>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91A2ADB"/>
    <w:multiLevelType w:val="hybridMultilevel"/>
    <w:tmpl w:val="852AFC2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1DF1C6A"/>
    <w:multiLevelType w:val="hybridMultilevel"/>
    <w:tmpl w:val="14846034"/>
    <w:lvl w:ilvl="0" w:tplc="2B9A1F02">
      <w:numFmt w:val="bullet"/>
      <w:lvlText w:val="-"/>
      <w:lvlJc w:val="left"/>
      <w:pPr>
        <w:ind w:left="760" w:hanging="360"/>
      </w:pPr>
      <w:rPr>
        <w:rFonts w:ascii="Times New Roman" w:eastAsia="맑은 고딕" w:hAnsi="Times New Roman" w:cs="Times New Roman" w:hint="default"/>
        <w:b/>
        <w:i/>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E9C48F1"/>
    <w:multiLevelType w:val="hybridMultilevel"/>
    <w:tmpl w:val="ED2067F6"/>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84B5336"/>
    <w:multiLevelType w:val="hybridMultilevel"/>
    <w:tmpl w:val="36969B54"/>
    <w:lvl w:ilvl="0" w:tplc="BA805C74">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BA805C74">
      <w:start w:val="1"/>
      <w:numFmt w:val="bullet"/>
      <w:lvlText w:val="•"/>
      <w:lvlJc w:val="left"/>
      <w:pPr>
        <w:ind w:left="3484" w:hanging="400"/>
      </w:pPr>
      <w:rPr>
        <w:rFonts w:ascii="Arial" w:hAnsi="Arial"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1"/>
  </w:num>
  <w:num w:numId="3">
    <w:abstractNumId w:val="14"/>
  </w:num>
  <w:num w:numId="4">
    <w:abstractNumId w:val="8"/>
  </w:num>
  <w:num w:numId="5">
    <w:abstractNumId w:val="5"/>
  </w:num>
  <w:num w:numId="6">
    <w:abstractNumId w:val="15"/>
  </w:num>
  <w:num w:numId="7">
    <w:abstractNumId w:val="11"/>
  </w:num>
  <w:num w:numId="8">
    <w:abstractNumId w:val="0"/>
  </w:num>
  <w:num w:numId="9">
    <w:abstractNumId w:val="20"/>
  </w:num>
  <w:num w:numId="10">
    <w:abstractNumId w:val="2"/>
  </w:num>
  <w:num w:numId="11">
    <w:abstractNumId w:val="17"/>
  </w:num>
  <w:num w:numId="12">
    <w:abstractNumId w:val="19"/>
  </w:num>
  <w:num w:numId="13">
    <w:abstractNumId w:val="7"/>
  </w:num>
  <w:num w:numId="14">
    <w:abstractNumId w:val="9"/>
  </w:num>
  <w:num w:numId="15">
    <w:abstractNumId w:val="12"/>
  </w:num>
  <w:num w:numId="16">
    <w:abstractNumId w:val="16"/>
  </w:num>
  <w:num w:numId="17">
    <w:abstractNumId w:val="10"/>
  </w:num>
  <w:num w:numId="18">
    <w:abstractNumId w:val="18"/>
  </w:num>
  <w:num w:numId="19">
    <w:abstractNumId w:val="3"/>
  </w:num>
  <w:num w:numId="20">
    <w:abstractNumId w:val="6"/>
  </w:num>
  <w:num w:numId="21">
    <w:abstractNumId w:val="6"/>
  </w:num>
  <w:num w:numId="22">
    <w:abstractNumId w:val="4"/>
  </w:num>
  <w:num w:numId="23">
    <w:abstractNumId w:val="6"/>
  </w:num>
  <w:num w:numId="24">
    <w:abstractNumId w:val="6"/>
  </w:num>
  <w:num w:numId="2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oFAMR3ZagtAAAA"/>
  </w:docVars>
  <w:rsids>
    <w:rsidRoot w:val="001171FA"/>
    <w:rsid w:val="0000173F"/>
    <w:rsid w:val="000036D4"/>
    <w:rsid w:val="00003B1D"/>
    <w:rsid w:val="000053F0"/>
    <w:rsid w:val="00005524"/>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5630"/>
    <w:rsid w:val="0005599A"/>
    <w:rsid w:val="00057D9A"/>
    <w:rsid w:val="00060788"/>
    <w:rsid w:val="000615F2"/>
    <w:rsid w:val="000616A3"/>
    <w:rsid w:val="00062195"/>
    <w:rsid w:val="00062AF0"/>
    <w:rsid w:val="00063A09"/>
    <w:rsid w:val="00063A36"/>
    <w:rsid w:val="00063B3E"/>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1DC9"/>
    <w:rsid w:val="0008292C"/>
    <w:rsid w:val="00083360"/>
    <w:rsid w:val="00084D7C"/>
    <w:rsid w:val="0008510F"/>
    <w:rsid w:val="0008671B"/>
    <w:rsid w:val="00086F58"/>
    <w:rsid w:val="000870EB"/>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27C2"/>
    <w:rsid w:val="000A3154"/>
    <w:rsid w:val="000A447B"/>
    <w:rsid w:val="000A52D2"/>
    <w:rsid w:val="000A63FA"/>
    <w:rsid w:val="000A6A66"/>
    <w:rsid w:val="000B15B8"/>
    <w:rsid w:val="000B17F6"/>
    <w:rsid w:val="000B1964"/>
    <w:rsid w:val="000B2503"/>
    <w:rsid w:val="000B26BE"/>
    <w:rsid w:val="000B36F2"/>
    <w:rsid w:val="000B3E6D"/>
    <w:rsid w:val="000B55B1"/>
    <w:rsid w:val="000B7771"/>
    <w:rsid w:val="000B799B"/>
    <w:rsid w:val="000C15D6"/>
    <w:rsid w:val="000C19FB"/>
    <w:rsid w:val="000C1B7F"/>
    <w:rsid w:val="000C62E1"/>
    <w:rsid w:val="000C71C8"/>
    <w:rsid w:val="000D0030"/>
    <w:rsid w:val="000D0D95"/>
    <w:rsid w:val="000D1C1B"/>
    <w:rsid w:val="000D28A2"/>
    <w:rsid w:val="000D3113"/>
    <w:rsid w:val="000D39B2"/>
    <w:rsid w:val="000D4C31"/>
    <w:rsid w:val="000D563E"/>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0E22"/>
    <w:rsid w:val="0010118F"/>
    <w:rsid w:val="00103EF5"/>
    <w:rsid w:val="00104AC0"/>
    <w:rsid w:val="0010506A"/>
    <w:rsid w:val="00106238"/>
    <w:rsid w:val="001068F8"/>
    <w:rsid w:val="0010779B"/>
    <w:rsid w:val="00107D58"/>
    <w:rsid w:val="001101D9"/>
    <w:rsid w:val="00110298"/>
    <w:rsid w:val="00111C28"/>
    <w:rsid w:val="00112017"/>
    <w:rsid w:val="00112609"/>
    <w:rsid w:val="00115BB4"/>
    <w:rsid w:val="001171FA"/>
    <w:rsid w:val="00117767"/>
    <w:rsid w:val="0011785D"/>
    <w:rsid w:val="00117963"/>
    <w:rsid w:val="00117ADB"/>
    <w:rsid w:val="00121DFB"/>
    <w:rsid w:val="0012269A"/>
    <w:rsid w:val="00123C65"/>
    <w:rsid w:val="00123FC1"/>
    <w:rsid w:val="0012436A"/>
    <w:rsid w:val="00124BC8"/>
    <w:rsid w:val="0012596B"/>
    <w:rsid w:val="001266AB"/>
    <w:rsid w:val="00126C25"/>
    <w:rsid w:val="00126E69"/>
    <w:rsid w:val="00127C4C"/>
    <w:rsid w:val="00130DBB"/>
    <w:rsid w:val="0013116E"/>
    <w:rsid w:val="00131E37"/>
    <w:rsid w:val="00131F78"/>
    <w:rsid w:val="00132135"/>
    <w:rsid w:val="00134616"/>
    <w:rsid w:val="00134809"/>
    <w:rsid w:val="00134D2C"/>
    <w:rsid w:val="00135CF7"/>
    <w:rsid w:val="00137B00"/>
    <w:rsid w:val="00140686"/>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71E"/>
    <w:rsid w:val="00161945"/>
    <w:rsid w:val="00162A6D"/>
    <w:rsid w:val="00164C03"/>
    <w:rsid w:val="0016502C"/>
    <w:rsid w:val="00165DA8"/>
    <w:rsid w:val="001663E3"/>
    <w:rsid w:val="00166717"/>
    <w:rsid w:val="00166F0D"/>
    <w:rsid w:val="001672D8"/>
    <w:rsid w:val="001700D6"/>
    <w:rsid w:val="0017048E"/>
    <w:rsid w:val="0017191C"/>
    <w:rsid w:val="00171BC5"/>
    <w:rsid w:val="001720B8"/>
    <w:rsid w:val="00172E89"/>
    <w:rsid w:val="001741D2"/>
    <w:rsid w:val="0017611B"/>
    <w:rsid w:val="00177ACA"/>
    <w:rsid w:val="00180586"/>
    <w:rsid w:val="00182C2C"/>
    <w:rsid w:val="00183372"/>
    <w:rsid w:val="001839C8"/>
    <w:rsid w:val="00183F83"/>
    <w:rsid w:val="0018563A"/>
    <w:rsid w:val="00187F2E"/>
    <w:rsid w:val="0019037B"/>
    <w:rsid w:val="00190F35"/>
    <w:rsid w:val="0019112E"/>
    <w:rsid w:val="001916DB"/>
    <w:rsid w:val="00194491"/>
    <w:rsid w:val="0019580A"/>
    <w:rsid w:val="0019622E"/>
    <w:rsid w:val="0019728E"/>
    <w:rsid w:val="0019793F"/>
    <w:rsid w:val="00197ABE"/>
    <w:rsid w:val="001A0FAC"/>
    <w:rsid w:val="001A1300"/>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C00CF"/>
    <w:rsid w:val="001C02D9"/>
    <w:rsid w:val="001C04D2"/>
    <w:rsid w:val="001C0E60"/>
    <w:rsid w:val="001C1C44"/>
    <w:rsid w:val="001C1FC1"/>
    <w:rsid w:val="001C2478"/>
    <w:rsid w:val="001C29DD"/>
    <w:rsid w:val="001C38FA"/>
    <w:rsid w:val="001C3A8C"/>
    <w:rsid w:val="001C47CE"/>
    <w:rsid w:val="001C6BF3"/>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20DB"/>
    <w:rsid w:val="001F2F4F"/>
    <w:rsid w:val="001F304D"/>
    <w:rsid w:val="001F3ECB"/>
    <w:rsid w:val="001F456C"/>
    <w:rsid w:val="001F522B"/>
    <w:rsid w:val="001F5510"/>
    <w:rsid w:val="001F5828"/>
    <w:rsid w:val="001F5CC3"/>
    <w:rsid w:val="001F5F98"/>
    <w:rsid w:val="001F7713"/>
    <w:rsid w:val="00201CD0"/>
    <w:rsid w:val="00201E10"/>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20A6"/>
    <w:rsid w:val="00233D0E"/>
    <w:rsid w:val="002341AB"/>
    <w:rsid w:val="00234BF9"/>
    <w:rsid w:val="00234DFB"/>
    <w:rsid w:val="00236A2A"/>
    <w:rsid w:val="00237561"/>
    <w:rsid w:val="0024041D"/>
    <w:rsid w:val="00240ED9"/>
    <w:rsid w:val="00241772"/>
    <w:rsid w:val="0024187F"/>
    <w:rsid w:val="00241A94"/>
    <w:rsid w:val="00241F9E"/>
    <w:rsid w:val="00243353"/>
    <w:rsid w:val="00243A09"/>
    <w:rsid w:val="002462B8"/>
    <w:rsid w:val="00250168"/>
    <w:rsid w:val="00250186"/>
    <w:rsid w:val="00250C07"/>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3E8"/>
    <w:rsid w:val="00273781"/>
    <w:rsid w:val="00273AAA"/>
    <w:rsid w:val="00273E52"/>
    <w:rsid w:val="00274872"/>
    <w:rsid w:val="0027681A"/>
    <w:rsid w:val="002776F1"/>
    <w:rsid w:val="00283068"/>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396A"/>
    <w:rsid w:val="002A3BBA"/>
    <w:rsid w:val="002A4B6E"/>
    <w:rsid w:val="002A5400"/>
    <w:rsid w:val="002A70CD"/>
    <w:rsid w:val="002B2632"/>
    <w:rsid w:val="002B27D0"/>
    <w:rsid w:val="002B2D20"/>
    <w:rsid w:val="002B38C9"/>
    <w:rsid w:val="002B4879"/>
    <w:rsid w:val="002B4A73"/>
    <w:rsid w:val="002B5AA3"/>
    <w:rsid w:val="002B5D4D"/>
    <w:rsid w:val="002B6D35"/>
    <w:rsid w:val="002B796F"/>
    <w:rsid w:val="002B7DF0"/>
    <w:rsid w:val="002C1AA0"/>
    <w:rsid w:val="002C21A4"/>
    <w:rsid w:val="002C4364"/>
    <w:rsid w:val="002C608B"/>
    <w:rsid w:val="002C64AC"/>
    <w:rsid w:val="002D2149"/>
    <w:rsid w:val="002D2EC5"/>
    <w:rsid w:val="002D3290"/>
    <w:rsid w:val="002D32BD"/>
    <w:rsid w:val="002D41FF"/>
    <w:rsid w:val="002D4249"/>
    <w:rsid w:val="002D46F5"/>
    <w:rsid w:val="002D58FC"/>
    <w:rsid w:val="002D5FB2"/>
    <w:rsid w:val="002D74DD"/>
    <w:rsid w:val="002E0FAB"/>
    <w:rsid w:val="002E127B"/>
    <w:rsid w:val="002E1C22"/>
    <w:rsid w:val="002E445A"/>
    <w:rsid w:val="002E5D2F"/>
    <w:rsid w:val="002E5E6E"/>
    <w:rsid w:val="002E66E0"/>
    <w:rsid w:val="002E7ABF"/>
    <w:rsid w:val="002F0010"/>
    <w:rsid w:val="002F0AC0"/>
    <w:rsid w:val="002F1838"/>
    <w:rsid w:val="002F304F"/>
    <w:rsid w:val="002F42A0"/>
    <w:rsid w:val="002F4599"/>
    <w:rsid w:val="002F5748"/>
    <w:rsid w:val="002F6BB2"/>
    <w:rsid w:val="002F7658"/>
    <w:rsid w:val="00300E47"/>
    <w:rsid w:val="00301C60"/>
    <w:rsid w:val="00304A17"/>
    <w:rsid w:val="00304C32"/>
    <w:rsid w:val="0030668F"/>
    <w:rsid w:val="0030692C"/>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6209"/>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9BC"/>
    <w:rsid w:val="003834D3"/>
    <w:rsid w:val="00385B7B"/>
    <w:rsid w:val="00385B86"/>
    <w:rsid w:val="0038695A"/>
    <w:rsid w:val="00386DD4"/>
    <w:rsid w:val="00387D74"/>
    <w:rsid w:val="00387D9D"/>
    <w:rsid w:val="00390599"/>
    <w:rsid w:val="00391C07"/>
    <w:rsid w:val="003934C6"/>
    <w:rsid w:val="00394884"/>
    <w:rsid w:val="00394909"/>
    <w:rsid w:val="00394DDF"/>
    <w:rsid w:val="003A1090"/>
    <w:rsid w:val="003A1A77"/>
    <w:rsid w:val="003A24E7"/>
    <w:rsid w:val="003A250E"/>
    <w:rsid w:val="003A297D"/>
    <w:rsid w:val="003A310C"/>
    <w:rsid w:val="003A459E"/>
    <w:rsid w:val="003A4A4C"/>
    <w:rsid w:val="003A54B0"/>
    <w:rsid w:val="003A6C11"/>
    <w:rsid w:val="003A70C8"/>
    <w:rsid w:val="003B1B55"/>
    <w:rsid w:val="003B209D"/>
    <w:rsid w:val="003B25CC"/>
    <w:rsid w:val="003B2C73"/>
    <w:rsid w:val="003B2DB8"/>
    <w:rsid w:val="003B3224"/>
    <w:rsid w:val="003B3929"/>
    <w:rsid w:val="003B519E"/>
    <w:rsid w:val="003B5AAB"/>
    <w:rsid w:val="003B62C6"/>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65E"/>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41E"/>
    <w:rsid w:val="003F4E31"/>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4C3E"/>
    <w:rsid w:val="00426639"/>
    <w:rsid w:val="00426854"/>
    <w:rsid w:val="004273EB"/>
    <w:rsid w:val="004302B3"/>
    <w:rsid w:val="00430317"/>
    <w:rsid w:val="004304BC"/>
    <w:rsid w:val="00430D44"/>
    <w:rsid w:val="004311A1"/>
    <w:rsid w:val="00431936"/>
    <w:rsid w:val="00431D95"/>
    <w:rsid w:val="004321E1"/>
    <w:rsid w:val="00432AB2"/>
    <w:rsid w:val="00432CD4"/>
    <w:rsid w:val="004355FE"/>
    <w:rsid w:val="00435C7E"/>
    <w:rsid w:val="00436F97"/>
    <w:rsid w:val="00440ABC"/>
    <w:rsid w:val="00441BB7"/>
    <w:rsid w:val="00442151"/>
    <w:rsid w:val="0044291D"/>
    <w:rsid w:val="00444B72"/>
    <w:rsid w:val="004450F0"/>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5B25"/>
    <w:rsid w:val="0049218E"/>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2E00"/>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B77"/>
    <w:rsid w:val="004D5368"/>
    <w:rsid w:val="004D5B43"/>
    <w:rsid w:val="004D5CF9"/>
    <w:rsid w:val="004D633B"/>
    <w:rsid w:val="004D7D4B"/>
    <w:rsid w:val="004E1E39"/>
    <w:rsid w:val="004E2B0A"/>
    <w:rsid w:val="004E2DA8"/>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66DA"/>
    <w:rsid w:val="0051003B"/>
    <w:rsid w:val="0051064E"/>
    <w:rsid w:val="00512263"/>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53D0"/>
    <w:rsid w:val="00546C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A81"/>
    <w:rsid w:val="005671F4"/>
    <w:rsid w:val="005675E4"/>
    <w:rsid w:val="005678CA"/>
    <w:rsid w:val="005700D6"/>
    <w:rsid w:val="005739B5"/>
    <w:rsid w:val="00573E9A"/>
    <w:rsid w:val="005746F4"/>
    <w:rsid w:val="00574B24"/>
    <w:rsid w:val="005763A9"/>
    <w:rsid w:val="00577E77"/>
    <w:rsid w:val="005801FB"/>
    <w:rsid w:val="00585052"/>
    <w:rsid w:val="00585859"/>
    <w:rsid w:val="00585F9D"/>
    <w:rsid w:val="0058657D"/>
    <w:rsid w:val="00587FFD"/>
    <w:rsid w:val="005914D9"/>
    <w:rsid w:val="00591650"/>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41B"/>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43BE"/>
    <w:rsid w:val="005C537B"/>
    <w:rsid w:val="005C5B56"/>
    <w:rsid w:val="005C68AD"/>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2E31"/>
    <w:rsid w:val="005E3050"/>
    <w:rsid w:val="005E31BE"/>
    <w:rsid w:val="005E449D"/>
    <w:rsid w:val="005E5619"/>
    <w:rsid w:val="005E7EFD"/>
    <w:rsid w:val="005E7F9C"/>
    <w:rsid w:val="005F1C17"/>
    <w:rsid w:val="005F1EC5"/>
    <w:rsid w:val="005F2232"/>
    <w:rsid w:val="005F4ACA"/>
    <w:rsid w:val="005F4AE4"/>
    <w:rsid w:val="005F57EC"/>
    <w:rsid w:val="005F7CAB"/>
    <w:rsid w:val="00600939"/>
    <w:rsid w:val="006023F6"/>
    <w:rsid w:val="00602BB4"/>
    <w:rsid w:val="00603094"/>
    <w:rsid w:val="00606790"/>
    <w:rsid w:val="00606E40"/>
    <w:rsid w:val="0061001D"/>
    <w:rsid w:val="00610FD0"/>
    <w:rsid w:val="00611378"/>
    <w:rsid w:val="00612FCC"/>
    <w:rsid w:val="00615CAC"/>
    <w:rsid w:val="0061698E"/>
    <w:rsid w:val="00616EF3"/>
    <w:rsid w:val="006173F6"/>
    <w:rsid w:val="0061749B"/>
    <w:rsid w:val="00617E4F"/>
    <w:rsid w:val="006204E9"/>
    <w:rsid w:val="00620C85"/>
    <w:rsid w:val="00620E9E"/>
    <w:rsid w:val="00621498"/>
    <w:rsid w:val="00622C87"/>
    <w:rsid w:val="00622DB2"/>
    <w:rsid w:val="00622DBC"/>
    <w:rsid w:val="00622EC0"/>
    <w:rsid w:val="00623E0A"/>
    <w:rsid w:val="0062492A"/>
    <w:rsid w:val="00625812"/>
    <w:rsid w:val="00625E84"/>
    <w:rsid w:val="00625FA9"/>
    <w:rsid w:val="0062633C"/>
    <w:rsid w:val="006266D0"/>
    <w:rsid w:val="00626734"/>
    <w:rsid w:val="006269E9"/>
    <w:rsid w:val="0062745A"/>
    <w:rsid w:val="00627BF8"/>
    <w:rsid w:val="006310C1"/>
    <w:rsid w:val="006331C1"/>
    <w:rsid w:val="00634297"/>
    <w:rsid w:val="00635E0A"/>
    <w:rsid w:val="00636788"/>
    <w:rsid w:val="0063708D"/>
    <w:rsid w:val="0064053D"/>
    <w:rsid w:val="006413A4"/>
    <w:rsid w:val="00644ABF"/>
    <w:rsid w:val="0064686E"/>
    <w:rsid w:val="00646E27"/>
    <w:rsid w:val="00647BD5"/>
    <w:rsid w:val="00651102"/>
    <w:rsid w:val="00652326"/>
    <w:rsid w:val="006524A4"/>
    <w:rsid w:val="00653244"/>
    <w:rsid w:val="00654297"/>
    <w:rsid w:val="00654D66"/>
    <w:rsid w:val="00657796"/>
    <w:rsid w:val="00662107"/>
    <w:rsid w:val="00665775"/>
    <w:rsid w:val="00665B67"/>
    <w:rsid w:val="00665D32"/>
    <w:rsid w:val="006662F5"/>
    <w:rsid w:val="006677C3"/>
    <w:rsid w:val="006717D7"/>
    <w:rsid w:val="0067203F"/>
    <w:rsid w:val="006746DD"/>
    <w:rsid w:val="0067596C"/>
    <w:rsid w:val="00675D98"/>
    <w:rsid w:val="00676803"/>
    <w:rsid w:val="006778B6"/>
    <w:rsid w:val="0068010D"/>
    <w:rsid w:val="00680F95"/>
    <w:rsid w:val="00681D1B"/>
    <w:rsid w:val="006833AA"/>
    <w:rsid w:val="00684790"/>
    <w:rsid w:val="00684DF9"/>
    <w:rsid w:val="00685C8A"/>
    <w:rsid w:val="00685E1A"/>
    <w:rsid w:val="00685F5B"/>
    <w:rsid w:val="0068709A"/>
    <w:rsid w:val="006903D2"/>
    <w:rsid w:val="006907A9"/>
    <w:rsid w:val="00691220"/>
    <w:rsid w:val="006931B0"/>
    <w:rsid w:val="0069435A"/>
    <w:rsid w:val="00695164"/>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1583"/>
    <w:rsid w:val="006D369E"/>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F0007"/>
    <w:rsid w:val="006F0097"/>
    <w:rsid w:val="006F0478"/>
    <w:rsid w:val="006F0A7F"/>
    <w:rsid w:val="006F195D"/>
    <w:rsid w:val="006F1989"/>
    <w:rsid w:val="006F1E5D"/>
    <w:rsid w:val="006F40E8"/>
    <w:rsid w:val="006F4583"/>
    <w:rsid w:val="006F750C"/>
    <w:rsid w:val="006F7562"/>
    <w:rsid w:val="00700A2E"/>
    <w:rsid w:val="0070110D"/>
    <w:rsid w:val="0070143E"/>
    <w:rsid w:val="007022B4"/>
    <w:rsid w:val="007043CE"/>
    <w:rsid w:val="007060E3"/>
    <w:rsid w:val="00710705"/>
    <w:rsid w:val="00710ECD"/>
    <w:rsid w:val="00711095"/>
    <w:rsid w:val="0071117C"/>
    <w:rsid w:val="00712D9B"/>
    <w:rsid w:val="00713847"/>
    <w:rsid w:val="00713C04"/>
    <w:rsid w:val="00714238"/>
    <w:rsid w:val="00714555"/>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55C2"/>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27CF"/>
    <w:rsid w:val="007C29F1"/>
    <w:rsid w:val="007C3FE5"/>
    <w:rsid w:val="007C53FA"/>
    <w:rsid w:val="007C5438"/>
    <w:rsid w:val="007C5874"/>
    <w:rsid w:val="007C64C8"/>
    <w:rsid w:val="007D0F24"/>
    <w:rsid w:val="007D168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159"/>
    <w:rsid w:val="007F25F2"/>
    <w:rsid w:val="007F39AE"/>
    <w:rsid w:val="007F3D9F"/>
    <w:rsid w:val="007F504C"/>
    <w:rsid w:val="007F5312"/>
    <w:rsid w:val="007F567B"/>
    <w:rsid w:val="007F5DFC"/>
    <w:rsid w:val="007F5E32"/>
    <w:rsid w:val="007F6FDB"/>
    <w:rsid w:val="007F7C57"/>
    <w:rsid w:val="00800781"/>
    <w:rsid w:val="008012A9"/>
    <w:rsid w:val="008012E9"/>
    <w:rsid w:val="00802752"/>
    <w:rsid w:val="008041A0"/>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207AD"/>
    <w:rsid w:val="0082080F"/>
    <w:rsid w:val="008217E5"/>
    <w:rsid w:val="0082354F"/>
    <w:rsid w:val="00823E4D"/>
    <w:rsid w:val="008249FE"/>
    <w:rsid w:val="00825A26"/>
    <w:rsid w:val="00827C4E"/>
    <w:rsid w:val="00830733"/>
    <w:rsid w:val="00830A56"/>
    <w:rsid w:val="00830E19"/>
    <w:rsid w:val="00831031"/>
    <w:rsid w:val="008327A7"/>
    <w:rsid w:val="00833053"/>
    <w:rsid w:val="00833FD1"/>
    <w:rsid w:val="008342C4"/>
    <w:rsid w:val="00834C01"/>
    <w:rsid w:val="008350D0"/>
    <w:rsid w:val="00835258"/>
    <w:rsid w:val="00835449"/>
    <w:rsid w:val="0083584C"/>
    <w:rsid w:val="0083627F"/>
    <w:rsid w:val="00836A77"/>
    <w:rsid w:val="008422BA"/>
    <w:rsid w:val="00843431"/>
    <w:rsid w:val="00843DF3"/>
    <w:rsid w:val="008446B1"/>
    <w:rsid w:val="0084688F"/>
    <w:rsid w:val="00846B08"/>
    <w:rsid w:val="00847476"/>
    <w:rsid w:val="00850261"/>
    <w:rsid w:val="008516B4"/>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71A"/>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731E"/>
    <w:rsid w:val="00927C82"/>
    <w:rsid w:val="00930767"/>
    <w:rsid w:val="009315C8"/>
    <w:rsid w:val="00931AEF"/>
    <w:rsid w:val="009340AE"/>
    <w:rsid w:val="00934323"/>
    <w:rsid w:val="00935843"/>
    <w:rsid w:val="00936170"/>
    <w:rsid w:val="00936446"/>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2BDD"/>
    <w:rsid w:val="009A3A57"/>
    <w:rsid w:val="009A3F3E"/>
    <w:rsid w:val="009A4F46"/>
    <w:rsid w:val="009A5435"/>
    <w:rsid w:val="009A5936"/>
    <w:rsid w:val="009A66A7"/>
    <w:rsid w:val="009B098E"/>
    <w:rsid w:val="009B22E3"/>
    <w:rsid w:val="009B4228"/>
    <w:rsid w:val="009B4345"/>
    <w:rsid w:val="009B47F0"/>
    <w:rsid w:val="009B4DDF"/>
    <w:rsid w:val="009B5077"/>
    <w:rsid w:val="009B76B5"/>
    <w:rsid w:val="009C0C6F"/>
    <w:rsid w:val="009C127A"/>
    <w:rsid w:val="009C1D33"/>
    <w:rsid w:val="009C2954"/>
    <w:rsid w:val="009C2EC1"/>
    <w:rsid w:val="009C48F0"/>
    <w:rsid w:val="009C4C83"/>
    <w:rsid w:val="009C4EC6"/>
    <w:rsid w:val="009C61EE"/>
    <w:rsid w:val="009C627F"/>
    <w:rsid w:val="009C7DCA"/>
    <w:rsid w:val="009D0644"/>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5FD"/>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1C4"/>
    <w:rsid w:val="00A0436B"/>
    <w:rsid w:val="00A05B04"/>
    <w:rsid w:val="00A066CC"/>
    <w:rsid w:val="00A120DB"/>
    <w:rsid w:val="00A15802"/>
    <w:rsid w:val="00A16AF4"/>
    <w:rsid w:val="00A16BD6"/>
    <w:rsid w:val="00A20353"/>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FF4"/>
    <w:rsid w:val="00A65F88"/>
    <w:rsid w:val="00A660C5"/>
    <w:rsid w:val="00A668EA"/>
    <w:rsid w:val="00A675BA"/>
    <w:rsid w:val="00A7016B"/>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2D01"/>
    <w:rsid w:val="00AB4177"/>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0A5F"/>
    <w:rsid w:val="00B01437"/>
    <w:rsid w:val="00B01F05"/>
    <w:rsid w:val="00B026AC"/>
    <w:rsid w:val="00B03B0E"/>
    <w:rsid w:val="00B057FB"/>
    <w:rsid w:val="00B0622D"/>
    <w:rsid w:val="00B10064"/>
    <w:rsid w:val="00B110FA"/>
    <w:rsid w:val="00B12589"/>
    <w:rsid w:val="00B14DA7"/>
    <w:rsid w:val="00B15B0A"/>
    <w:rsid w:val="00B16A83"/>
    <w:rsid w:val="00B17217"/>
    <w:rsid w:val="00B17359"/>
    <w:rsid w:val="00B173BF"/>
    <w:rsid w:val="00B20DD1"/>
    <w:rsid w:val="00B21AC0"/>
    <w:rsid w:val="00B21C56"/>
    <w:rsid w:val="00B221DF"/>
    <w:rsid w:val="00B230F1"/>
    <w:rsid w:val="00B237FB"/>
    <w:rsid w:val="00B23D0B"/>
    <w:rsid w:val="00B24DAA"/>
    <w:rsid w:val="00B2517E"/>
    <w:rsid w:val="00B258DA"/>
    <w:rsid w:val="00B27CD9"/>
    <w:rsid w:val="00B30331"/>
    <w:rsid w:val="00B314C8"/>
    <w:rsid w:val="00B31A2A"/>
    <w:rsid w:val="00B342EE"/>
    <w:rsid w:val="00B34F14"/>
    <w:rsid w:val="00B358DB"/>
    <w:rsid w:val="00B35EA0"/>
    <w:rsid w:val="00B43137"/>
    <w:rsid w:val="00B44313"/>
    <w:rsid w:val="00B44875"/>
    <w:rsid w:val="00B45573"/>
    <w:rsid w:val="00B46423"/>
    <w:rsid w:val="00B46A0C"/>
    <w:rsid w:val="00B46DC9"/>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6232"/>
    <w:rsid w:val="00B87B9D"/>
    <w:rsid w:val="00B90403"/>
    <w:rsid w:val="00B90E99"/>
    <w:rsid w:val="00B916DB"/>
    <w:rsid w:val="00B91826"/>
    <w:rsid w:val="00B929BB"/>
    <w:rsid w:val="00B93075"/>
    <w:rsid w:val="00B9346B"/>
    <w:rsid w:val="00B936D4"/>
    <w:rsid w:val="00B94023"/>
    <w:rsid w:val="00B94D95"/>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E719C"/>
    <w:rsid w:val="00BF02F3"/>
    <w:rsid w:val="00BF1CF2"/>
    <w:rsid w:val="00BF1D46"/>
    <w:rsid w:val="00BF4117"/>
    <w:rsid w:val="00BF41BE"/>
    <w:rsid w:val="00BF4550"/>
    <w:rsid w:val="00BF6304"/>
    <w:rsid w:val="00BF796D"/>
    <w:rsid w:val="00BF7CA7"/>
    <w:rsid w:val="00BF7DE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620"/>
    <w:rsid w:val="00C32B44"/>
    <w:rsid w:val="00C32D58"/>
    <w:rsid w:val="00C340FB"/>
    <w:rsid w:val="00C34707"/>
    <w:rsid w:val="00C3516A"/>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50721"/>
    <w:rsid w:val="00C508A8"/>
    <w:rsid w:val="00C5092B"/>
    <w:rsid w:val="00C50942"/>
    <w:rsid w:val="00C51F68"/>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C31"/>
    <w:rsid w:val="00C66531"/>
    <w:rsid w:val="00C66F03"/>
    <w:rsid w:val="00C70A0F"/>
    <w:rsid w:val="00C70A76"/>
    <w:rsid w:val="00C71318"/>
    <w:rsid w:val="00C71CE7"/>
    <w:rsid w:val="00C72C8B"/>
    <w:rsid w:val="00C72E79"/>
    <w:rsid w:val="00C731D1"/>
    <w:rsid w:val="00C73A6D"/>
    <w:rsid w:val="00C74457"/>
    <w:rsid w:val="00C75F39"/>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A0134"/>
    <w:rsid w:val="00CA0390"/>
    <w:rsid w:val="00CA233A"/>
    <w:rsid w:val="00CA26E8"/>
    <w:rsid w:val="00CA280F"/>
    <w:rsid w:val="00CA340A"/>
    <w:rsid w:val="00CA3FB3"/>
    <w:rsid w:val="00CA452C"/>
    <w:rsid w:val="00CA54CC"/>
    <w:rsid w:val="00CA5508"/>
    <w:rsid w:val="00CA5895"/>
    <w:rsid w:val="00CA64B9"/>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10A4"/>
    <w:rsid w:val="00CF2690"/>
    <w:rsid w:val="00CF2A12"/>
    <w:rsid w:val="00CF2EAA"/>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15C7"/>
    <w:rsid w:val="00D13AE1"/>
    <w:rsid w:val="00D14705"/>
    <w:rsid w:val="00D16294"/>
    <w:rsid w:val="00D17124"/>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A5B"/>
    <w:rsid w:val="00D33E40"/>
    <w:rsid w:val="00D35071"/>
    <w:rsid w:val="00D36056"/>
    <w:rsid w:val="00D374C1"/>
    <w:rsid w:val="00D374EB"/>
    <w:rsid w:val="00D408E6"/>
    <w:rsid w:val="00D41B39"/>
    <w:rsid w:val="00D42D47"/>
    <w:rsid w:val="00D431B7"/>
    <w:rsid w:val="00D43845"/>
    <w:rsid w:val="00D43AA6"/>
    <w:rsid w:val="00D43C4E"/>
    <w:rsid w:val="00D43D06"/>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1D9"/>
    <w:rsid w:val="00D80798"/>
    <w:rsid w:val="00D81507"/>
    <w:rsid w:val="00D826DA"/>
    <w:rsid w:val="00D82750"/>
    <w:rsid w:val="00D82FD7"/>
    <w:rsid w:val="00D847AE"/>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6BC1"/>
    <w:rsid w:val="00D97256"/>
    <w:rsid w:val="00DA042B"/>
    <w:rsid w:val="00DA0F66"/>
    <w:rsid w:val="00DA1D46"/>
    <w:rsid w:val="00DA2520"/>
    <w:rsid w:val="00DA37E1"/>
    <w:rsid w:val="00DA3823"/>
    <w:rsid w:val="00DA440F"/>
    <w:rsid w:val="00DA5020"/>
    <w:rsid w:val="00DA6189"/>
    <w:rsid w:val="00DA65F3"/>
    <w:rsid w:val="00DA6DE7"/>
    <w:rsid w:val="00DA7527"/>
    <w:rsid w:val="00DA7996"/>
    <w:rsid w:val="00DA7C23"/>
    <w:rsid w:val="00DA7CAB"/>
    <w:rsid w:val="00DB1637"/>
    <w:rsid w:val="00DB2197"/>
    <w:rsid w:val="00DB252C"/>
    <w:rsid w:val="00DB316C"/>
    <w:rsid w:val="00DB4691"/>
    <w:rsid w:val="00DB4E03"/>
    <w:rsid w:val="00DB562C"/>
    <w:rsid w:val="00DB59CA"/>
    <w:rsid w:val="00DB5CED"/>
    <w:rsid w:val="00DB5D85"/>
    <w:rsid w:val="00DB6DE8"/>
    <w:rsid w:val="00DC044E"/>
    <w:rsid w:val="00DC0F43"/>
    <w:rsid w:val="00DC10B4"/>
    <w:rsid w:val="00DC1161"/>
    <w:rsid w:val="00DC2A79"/>
    <w:rsid w:val="00DC32C1"/>
    <w:rsid w:val="00DC45EA"/>
    <w:rsid w:val="00DC6544"/>
    <w:rsid w:val="00DC6E13"/>
    <w:rsid w:val="00DD06E2"/>
    <w:rsid w:val="00DD11BC"/>
    <w:rsid w:val="00DD3F41"/>
    <w:rsid w:val="00DD40A7"/>
    <w:rsid w:val="00DD47E1"/>
    <w:rsid w:val="00DD5D17"/>
    <w:rsid w:val="00DD5E53"/>
    <w:rsid w:val="00DE2AD3"/>
    <w:rsid w:val="00DE308B"/>
    <w:rsid w:val="00DE362A"/>
    <w:rsid w:val="00DE44F4"/>
    <w:rsid w:val="00DE55A0"/>
    <w:rsid w:val="00DE5901"/>
    <w:rsid w:val="00DE7AF9"/>
    <w:rsid w:val="00DE7D3E"/>
    <w:rsid w:val="00DF0AC2"/>
    <w:rsid w:val="00DF0D6A"/>
    <w:rsid w:val="00DF1812"/>
    <w:rsid w:val="00DF1FCF"/>
    <w:rsid w:val="00DF22A5"/>
    <w:rsid w:val="00DF26D2"/>
    <w:rsid w:val="00DF39E3"/>
    <w:rsid w:val="00DF3C0C"/>
    <w:rsid w:val="00DF3D4B"/>
    <w:rsid w:val="00DF4229"/>
    <w:rsid w:val="00DF500F"/>
    <w:rsid w:val="00DF5AEE"/>
    <w:rsid w:val="00DF662A"/>
    <w:rsid w:val="00DF6F77"/>
    <w:rsid w:val="00DF7945"/>
    <w:rsid w:val="00E003A6"/>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1959"/>
    <w:rsid w:val="00E325FC"/>
    <w:rsid w:val="00E32CE2"/>
    <w:rsid w:val="00E33ACD"/>
    <w:rsid w:val="00E3550E"/>
    <w:rsid w:val="00E35679"/>
    <w:rsid w:val="00E35758"/>
    <w:rsid w:val="00E35B60"/>
    <w:rsid w:val="00E35BD2"/>
    <w:rsid w:val="00E35FE0"/>
    <w:rsid w:val="00E37FA5"/>
    <w:rsid w:val="00E37FFB"/>
    <w:rsid w:val="00E40960"/>
    <w:rsid w:val="00E4110C"/>
    <w:rsid w:val="00E422B0"/>
    <w:rsid w:val="00E42727"/>
    <w:rsid w:val="00E4343F"/>
    <w:rsid w:val="00E4422C"/>
    <w:rsid w:val="00E44819"/>
    <w:rsid w:val="00E45249"/>
    <w:rsid w:val="00E456F6"/>
    <w:rsid w:val="00E4679C"/>
    <w:rsid w:val="00E47121"/>
    <w:rsid w:val="00E4793D"/>
    <w:rsid w:val="00E47F76"/>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7179"/>
    <w:rsid w:val="00E67350"/>
    <w:rsid w:val="00E71213"/>
    <w:rsid w:val="00E716C6"/>
    <w:rsid w:val="00E735C3"/>
    <w:rsid w:val="00E7388B"/>
    <w:rsid w:val="00E74BDC"/>
    <w:rsid w:val="00E7637B"/>
    <w:rsid w:val="00E778F5"/>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E011E"/>
    <w:rsid w:val="00EE1017"/>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57B2"/>
    <w:rsid w:val="00F47940"/>
    <w:rsid w:val="00F509D0"/>
    <w:rsid w:val="00F50B22"/>
    <w:rsid w:val="00F51130"/>
    <w:rsid w:val="00F51D7A"/>
    <w:rsid w:val="00F534FD"/>
    <w:rsid w:val="00F54A39"/>
    <w:rsid w:val="00F55E1F"/>
    <w:rsid w:val="00F5684D"/>
    <w:rsid w:val="00F56B46"/>
    <w:rsid w:val="00F5733C"/>
    <w:rsid w:val="00F5793D"/>
    <w:rsid w:val="00F61486"/>
    <w:rsid w:val="00F616B3"/>
    <w:rsid w:val="00F631BB"/>
    <w:rsid w:val="00F64004"/>
    <w:rsid w:val="00F64DE9"/>
    <w:rsid w:val="00F65655"/>
    <w:rsid w:val="00F707F1"/>
    <w:rsid w:val="00F722AD"/>
    <w:rsid w:val="00F72C97"/>
    <w:rsid w:val="00F737DC"/>
    <w:rsid w:val="00F742A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21C7"/>
    <w:rsid w:val="00F92A58"/>
    <w:rsid w:val="00F9439C"/>
    <w:rsid w:val="00F95026"/>
    <w:rsid w:val="00F956C2"/>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15C"/>
    <w:rsid w:val="00FD036C"/>
    <w:rsid w:val="00FD039B"/>
    <w:rsid w:val="00FD1847"/>
    <w:rsid w:val="00FD2FD9"/>
    <w:rsid w:val="00FD4642"/>
    <w:rsid w:val="00FD50AA"/>
    <w:rsid w:val="00FD5192"/>
    <w:rsid w:val="00FD751C"/>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清單段落1"/>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customStyle="1" w:styleId="B3">
    <w:name w:val="B3"/>
    <w:basedOn w:val="30"/>
    <w:link w:val="B3Char"/>
    <w:rsid w:val="003B62C6"/>
    <w:pPr>
      <w:overflowPunct w:val="0"/>
      <w:autoSpaceDE w:val="0"/>
      <w:autoSpaceDN w:val="0"/>
      <w:adjustRightInd w:val="0"/>
      <w:spacing w:after="18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3B62C6"/>
    <w:rPr>
      <w:rFonts w:ascii="Times New Roman" w:eastAsia="Times New Roman" w:hAnsi="Times New Roman"/>
      <w:lang w:val="en-GB" w:eastAsia="en-GB"/>
    </w:rPr>
  </w:style>
  <w:style w:type="paragraph" w:styleId="30">
    <w:name w:val="List 3"/>
    <w:basedOn w:val="a"/>
    <w:uiPriority w:val="99"/>
    <w:semiHidden/>
    <w:unhideWhenUsed/>
    <w:rsid w:val="003B62C6"/>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B8FAB-45AD-4BB8-B5C8-19D9F5F2C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688</TotalTime>
  <Pages>4</Pages>
  <Words>1275</Words>
  <Characters>7272</Characters>
  <Application>Microsoft Office Word</Application>
  <DocSecurity>0</DocSecurity>
  <Lines>60</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Jin Woong Park</cp:lastModifiedBy>
  <cp:revision>50</cp:revision>
  <dcterms:created xsi:type="dcterms:W3CDTF">2022-07-27T06:17:00Z</dcterms:created>
  <dcterms:modified xsi:type="dcterms:W3CDTF">2022-09-30T08:33:00Z</dcterms:modified>
</cp:coreProperties>
</file>